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F7" w:rsidRPr="00581BF7" w:rsidRDefault="00581BF7" w:rsidP="00581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175260 Новгородская область, </w:t>
      </w:r>
      <w:proofErr w:type="spellStart"/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село Поддорье, улица Октябрьская, дом 26 тел. 8 816 58 71-418, т/факс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</w:t>
      </w: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>-418</w:t>
      </w:r>
    </w:p>
    <w:p w:rsidR="00581BF7" w:rsidRPr="00581BF7" w:rsidRDefault="00581BF7" w:rsidP="00581BF7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 w:eastAsia="ru-RU"/>
        </w:rPr>
        <w:t>E- mail: ksp.pod2012@yandex.ru__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4"/>
        <w:gridCol w:w="5052"/>
      </w:tblGrid>
      <w:tr w:rsidR="00581BF7" w:rsidRPr="00581BF7" w:rsidTr="00581BF7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lang w:eastAsia="ru-RU"/>
              </w:rPr>
              <w:t>от 30.11.2015 № 37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lang w:eastAsia="ru-RU"/>
              </w:rPr>
              <w:t>На № __________ от _____________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Белебелковского</w:t>
            </w:r>
            <w:proofErr w:type="spellEnd"/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Ивановой Н.С.</w:t>
            </w:r>
          </w:p>
        </w:tc>
      </w:tr>
    </w:tbl>
    <w:p w:rsidR="00581BF7" w:rsidRPr="00581BF7" w:rsidRDefault="00581BF7" w:rsidP="00581B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 № 37</w:t>
      </w:r>
    </w:p>
    <w:p w:rsidR="00581BF7" w:rsidRPr="00581BF7" w:rsidRDefault="00581BF7" w:rsidP="00581B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проект решения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на 2017 год и на плановый период 2018 и 2019 годов»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Контрольно-счетной Палаты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проект решения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2016 год» (далее – Заключение)</w:t>
      </w:r>
      <w:r w:rsidRPr="00581B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подготовлено в соответствии с Бюджетным кодексом Российской Федерации, с решениями Думы муниципального района от 02.12.2011 № 469 «О Контрольно-счетной Палате », с решением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поселении от 14.12.2012 № 81 «Об утверждении Положения о бюджетном процессе в</w:t>
      </w:r>
      <w:proofErr w:type="gram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r w:rsidRPr="00581B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поселении», решение Совета депутатов сельского поселения от 27.11.2014 № 27 «О внесении изменений в решение Совета депутатов от 14.12.2012 № 81 «О бюджетном процессе в </w:t>
      </w:r>
      <w:proofErr w:type="spellStart"/>
      <w:r w:rsidRPr="00581B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сельском поселении», решение Совета депутатов сельского поселения от 05.11.2015 № 9 «О внесении изменений в решение Совета депутатов от 14.12.2012 № 81 «О бюджетном процессе в </w:t>
      </w:r>
      <w:proofErr w:type="spellStart"/>
      <w:r w:rsidRPr="00581B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сельском поселении». </w:t>
      </w:r>
      <w:proofErr w:type="gramEnd"/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proofErr w:type="gramStart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подготовке Заключения Контрольно-счетная Палата </w:t>
      </w:r>
      <w:proofErr w:type="spellStart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(далее – Контрольно-счетная Палата) основывалась на проект решения Совета депутатов сельского поселения «О бюджете </w:t>
      </w:r>
      <w:proofErr w:type="spellStart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на 2017 год и на плановый период 2018 и 2019 годов» (далее – проект бюджета сельского поселения) к проекту бюджета сельского поселения, Прогнозу социально-экономического развития </w:t>
      </w:r>
      <w:proofErr w:type="spellStart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на 2017 год и на плановый период 2018 и</w:t>
      </w:r>
      <w:proofErr w:type="gramEnd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2019 годов, Основным направлениям бюджетной и налоговой политики на 2017 год и на плановый период 2018 и 2019 годов.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сравнении плановых показателей по доходам и расходам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с соответствующими показателями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использовались данные первоначально утвержденного бюджета на 2016 год и уточненного бюджета сельского поселения на 2016 год (по состоянию на 01.11.2016) в редакции решения Совета депутатов сельского поселения от 21.10.2016 № 27 «О внесении изменений в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от 25.12.2015 № 16 «О бюджете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год».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экспертно-аналитического мероприятия проанализирована работа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как главного администратора доходов и главного распорядителя средств бюджета сельского поселения по планированию соответствующих показателей проекта бюджета сельского поселения, а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оценено состояние нормативной правовой и методической базы, регулирующей порядок формирования и расчетов основных показателей проекта бюджета сельского поселения.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поступил в Контрольно-счетную Палату 25 ноября 2016 года.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содержание документов и материалов, представлены одновременно с проектом бюджета сельского поселения, соответствуют требованиям статьи 184</w:t>
      </w:r>
      <w:r w:rsidRPr="00581B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пункту 12 решения Совета депутатов сельского поселения от 14.12.2012 № 81 «О бюджетном процессе 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проекта бюджета сельского поселения в основном соответствуют Бюджетному кодексу Российской Федерации.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особенностями при формировании проекта бюджета сельского поселения послужили: восстановление принципов одногодичного бюджетного планирования; обеспечивающие большую прозрачность планирования бюджетных ассигнований; усиление программно-целевых подходов при формировании бюджетных расходов, направленных на результативность достижимых целей и возможность оценки эффективности использования затраченных ресурсов.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показателей проекта бюджета сельского поселения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явились: Прогноз социально-экономического развития сельского поселения на 2017 год и на плановый период 2018 и 2019 годов (далее - Прогноз), Основные направления бюджетной и налоговой политики на 2017 год и на плановый период 2018 и 2019 годов (далее – Основные направления бюджетной и налоговой политики).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Прогнозе отражены разделы, касающиеся приоритетных направлений социально-экономического развития сельского поселения, определена целевая направленность бюджетных средств с указанием достижения заданных параметров социально-экономического развития сельского поселения.</w:t>
      </w:r>
      <w:proofErr w:type="gramEnd"/>
    </w:p>
    <w:p w:rsidR="00581BF7" w:rsidRPr="00581BF7" w:rsidRDefault="00581BF7" w:rsidP="00581BF7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бюджета сельского поселения на 2017 год и на плановый период 2018 и 2019 годов произведено с применением программного принципа планирования бюджета, с обеспечением качественной разработки и своевременного утверждения муниципальных программ сельского поселения.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проектом бюджета сельского поселения предусмотрено финансирование по 12 муниципальным программам в сумме 2 556 900 рублей, что составляет 38,97 процентов от общих расходов сельского поселения на 2017 год,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2017 год составили 4004420 рублей, на 2018 год предусмотрено на программы 2034 900 рублей или 36,62 процента и на 2019 г -2029900 рублей или 36,5 процентов</w:t>
      </w:r>
      <w:proofErr w:type="gramEnd"/>
      <w:r w:rsidRPr="00581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общих расходов сельского поселения на 2019 год.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Анализ </w:t>
      </w:r>
      <w:proofErr w:type="gramStart"/>
      <w:r w:rsidRPr="00581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параметров прогноза основных показателей социально-экономического развития сельского поселения</w:t>
      </w:r>
      <w:proofErr w:type="gramEnd"/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документов и материалов к проекту бюджета сельского поселения представлены прогноз социально-экономического развития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на плановый период 2018 и 2019 годов (далее по тексту - Прогноз), основные направления бюджетной и налоговой политики на 2017 год и на плановый период 2018 и 2019 годов (далее – Основные направления бюджетной и налоговой политики).</w:t>
      </w:r>
      <w:r w:rsidRPr="00581B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к Прогнозу, его разработка проводилась на основе анализа сложившейся ситуации в экономике, тенденций ее развития в соответствии с умеренно оптимистическим вариантом сценарных условий функционирования экономики и основных параметров прогноза социально-экономического развития муниципального района на 2017 год и на плановый период 2018 и 2019 годов.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направлены на решение задач, обозначенных в Прогнозе социально-экономического развития, где также отражены следующие основные параметры бюджета сельского поселения: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2A5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949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1502"/>
        <w:gridCol w:w="965"/>
        <w:gridCol w:w="965"/>
        <w:gridCol w:w="1385"/>
        <w:gridCol w:w="850"/>
        <w:gridCol w:w="141"/>
        <w:gridCol w:w="993"/>
        <w:gridCol w:w="992"/>
      </w:tblGrid>
      <w:tr w:rsidR="00581BF7" w:rsidRPr="00581BF7" w:rsidTr="002A547F">
        <w:trPr>
          <w:tblCellSpacing w:w="0" w:type="dxa"/>
        </w:trPr>
        <w:tc>
          <w:tcPr>
            <w:tcW w:w="169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0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 утвержденный бюджет</w:t>
            </w:r>
          </w:p>
        </w:tc>
        <w:tc>
          <w:tcPr>
            <w:tcW w:w="3315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2976" w:type="dxa"/>
            <w:gridSpan w:val="4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или снижения к предыдущему году, %</w:t>
            </w:r>
          </w:p>
        </w:tc>
      </w:tr>
      <w:tr w:rsidR="00581BF7" w:rsidRPr="00581BF7" w:rsidTr="002A547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1BF7" w:rsidRPr="00581BF7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581BF7" w:rsidRPr="00581BF7" w:rsidTr="002A547F">
        <w:trPr>
          <w:tblCellSpacing w:w="0" w:type="dxa"/>
        </w:trPr>
        <w:tc>
          <w:tcPr>
            <w:tcW w:w="16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5181800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6561320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5556920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81BF7" w:rsidRPr="00581BF7" w:rsidTr="002A547F">
        <w:trPr>
          <w:trHeight w:val="45"/>
          <w:tblCellSpacing w:w="0" w:type="dxa"/>
        </w:trPr>
        <w:tc>
          <w:tcPr>
            <w:tcW w:w="16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5181800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6561320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81BF7" w:rsidRPr="00581BF7" w:rsidTr="002A547F">
        <w:trPr>
          <w:trHeight w:val="30"/>
          <w:tblCellSpacing w:w="0" w:type="dxa"/>
        </w:trPr>
        <w:tc>
          <w:tcPr>
            <w:tcW w:w="16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предполагается рост доходов бюджета сельского поселения к ожидаемому исполнению за 2016 год на сумму 788 011 рублей, что составляет 13,65 процентов. Доходы бюджета сельского поселения на 2017 год прогнозируются в объеме 6561320 рублей, или рост к первоначально утвержденному объему доходов на 2016 год составил 26,62 процента.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сельского поселения на 2018 и 2019 годы прогнозируются в объеме 5556920 рублей и 55561120 рублей или к предыдущему году снижение на 15,31 процент и рост на 0,07 процентов соответственно.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 на 2017 год прогнозируются в объеме 6 561 320 рублей, планируется рост на 26,62 процента по сравнению с первоначально утвержденными расходами бюджета поселения на 2016 год. Расходы бюджета сельского поселения на 2018 и 2019 годы прогнозируются в объеме 5556920 рублей и 55561120 рублей соответственно.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сельского поселения спрогнозирован на очередной финансовый 2017 год и на плановый период 2018 и 2019 годов </w:t>
      </w:r>
      <w:proofErr w:type="gram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бездефицитным</w:t>
      </w:r>
      <w:proofErr w:type="gram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 местных бюджетов огромное значение оказывает сфера межбюджетных отношений. Согласно Основным направлениям бюджетной и налоговой политики формирование межбюджетных отношений с бюджетами поселений в 2017 году направлено на формирование устойчивой собственной доходной базы местных бюджетов, создание стимулов по ее наращиванию.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характеристики бюджета сельского поселения</w:t>
      </w:r>
    </w:p>
    <w:p w:rsidR="00581BF7" w:rsidRPr="00581BF7" w:rsidRDefault="00581BF7" w:rsidP="002A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бюджета сельского поселения приведены в таблице:</w:t>
      </w:r>
      <w:r w:rsidR="002A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"/>
        <w:gridCol w:w="1365"/>
        <w:gridCol w:w="1109"/>
        <w:gridCol w:w="1149"/>
        <w:gridCol w:w="850"/>
        <w:gridCol w:w="860"/>
        <w:gridCol w:w="841"/>
        <w:gridCol w:w="992"/>
        <w:gridCol w:w="870"/>
      </w:tblGrid>
      <w:tr w:rsidR="00581BF7" w:rsidRPr="00581BF7" w:rsidTr="002A547F">
        <w:trPr>
          <w:tblCellSpacing w:w="0" w:type="dxa"/>
        </w:trPr>
        <w:tc>
          <w:tcPr>
            <w:tcW w:w="14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Первоначально утвержденный бюджет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Ожидаемое исполнение бюджета</w:t>
            </w:r>
          </w:p>
        </w:tc>
        <w:tc>
          <w:tcPr>
            <w:tcW w:w="28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270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или снижение к предыдущему году, %</w:t>
            </w:r>
          </w:p>
        </w:tc>
      </w:tr>
      <w:tr w:rsidR="00581BF7" w:rsidRPr="00581BF7" w:rsidTr="002A547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1BF7" w:rsidRPr="00581BF7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581BF7" w:rsidRPr="00581BF7" w:rsidTr="002A547F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5 181 800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5 773 309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6 561 320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5 556 920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5 561 120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-15,31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581BF7" w:rsidRPr="00581BF7" w:rsidTr="002A547F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1 732 000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1 660 500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2 173 900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2 178 900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2 183 900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0,23</w:t>
            </w:r>
          </w:p>
        </w:tc>
      </w:tr>
      <w:tr w:rsidR="00581BF7" w:rsidRPr="00581BF7" w:rsidTr="002A547F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1 158 390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1 959 090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121 000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21 000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21 000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-89,5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-82,65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81BF7" w:rsidRPr="00581BF7" w:rsidTr="002A547F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собственных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2 890 390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3 619 599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2 294 900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2 199 900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2 204 900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-20,6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-4,1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581BF7" w:rsidRPr="00581BF7" w:rsidTr="002A547F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из других бюджетов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2 291 410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2 153 710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4 266 420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3 357 020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3 356 220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-21,3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-0,02</w:t>
            </w:r>
          </w:p>
        </w:tc>
      </w:tr>
      <w:tr w:rsidR="00581BF7" w:rsidRPr="00581BF7" w:rsidTr="002A547F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5 181 800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5 469 778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6 561 320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5 556 920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5 561 120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26,62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-15,31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581BF7" w:rsidRPr="00581BF7" w:rsidTr="002A547F">
        <w:trPr>
          <w:trHeight w:val="45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303 531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предполагается прогнозный рост поступления доходов бюджета сельского поселения к уровню первоначальному бюджету 2016 года на 26,62 процента и к ожидаемому исполнению бюджета за 2016 год - на 17,73 процентов. 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сельского поселения на 2017 год по сравнению с бюджетом на 2016 год прогнозируется прогнозный рост как доходной, так и расходной частей бюджета сельского поселения.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сельского поселения на 2017 год прогнозируются в объеме 6 561 320 рублей или к 2016 году увеличены на 26,62 процента </w:t>
      </w:r>
      <w:proofErr w:type="gram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утвержденным бюджетом поселения на 2016 год.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проекта бюджета сельского поселения на 2017 год и на плановый период является сбалансированность доходов бюджета сельского поселения с расходами бюджета.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сельского поселения на 2017 год планируется снижение доли налоговых и неналоговых доходов бюджета сельских поселений на 20,6 процентов - к первоначально утвержденным показателям на 2016 год и к ожидаемому исполнению за 2016 год на 36,6 процентов. Доли дотации на выравнивание бюджетной обеспеченности муниципальных образований увеличилась на 84,59 процентов к ожидаемому поступлению 2016 года.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сельского поселения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налоговых и неналоговых доходов сформирован Администрацией </w:t>
      </w:r>
      <w:proofErr w:type="spell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расчетов, произведенных как главным администратором доходов. При прогнозировании доходов использовались показатели Прогноза, учитывались изменения законодательства, предусматривалось сокращение недоимки (на 20-30 процентов от суммы недоимки по большинству налоговых и неналоговых доходов), рассматривались меры, принимаемые администратором доходов по улучшению администрирования доходов.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бюджетном и налоговом законодательстве повлекут следующие коррективы в поступлениях налоговых доходов в проекте бюджета на 2017 год:</w:t>
      </w:r>
    </w:p>
    <w:p w:rsidR="00581BF7" w:rsidRPr="00581BF7" w:rsidRDefault="00581BF7" w:rsidP="002A547F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объема доходов бюджета сельского поселения учитывались вступающие в силу с 1 января 2014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 в части введения и передачи в бюджеты сельских поселений доходов от уплаты акцизов на нефтепродукты и изменения норматива отчислений по налогу физических лиц с 01.01.2015 года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составит 2 процента в бюджет поселения.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нормативов распределения доходов от уплаты акцизов на нефтепродукты в бюджет </w:t>
      </w:r>
      <w:proofErr w:type="spell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использованы данные о протяженности автомобильных дорог, количестве зарегистрированного на территории сельского поселения автотранспорта и среднегодовой объем розничной продажи бензина автомобильного.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норматив зачисления доходов от уплаты акцизов на нефтепродукты в местные бюджеты в 2017-2019 годы составит 0,0600 %.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отчислений в местные бюджеты установлены, исходя из протяженности автомобильных дорог местного значения, находящихся в собственности соответствующих муниципальных образований. Поступление налогов на товары (работы, услуги) реализуемые на территории РФ (доходы от уплаты акцизов на нефтепродукты) зависят от дифференцированного норматива отчислений – на 2017-2019 годы составит 1 607 900 рублей ежегодно.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100% указанных поступлений с 2015 года будут зачисляться в бюджеты сельских поселений для формирования муниципальных дорожных фондов.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отчислений в местные бюджеты установлены </w:t>
      </w:r>
      <w:proofErr w:type="gram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протяженности автомобильных дорог</w:t>
      </w:r>
      <w:proofErr w:type="gram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значения, находящихся в собственности соответствующих муниципальных образований.</w:t>
      </w:r>
    </w:p>
    <w:p w:rsidR="00581BF7" w:rsidRPr="00581BF7" w:rsidRDefault="002A547F" w:rsidP="002A547F">
      <w:pPr>
        <w:spacing w:before="115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объема доходов бюджета сельского поселения учитывались вступающие в силу с 1 января 2015 года изменения в нормативно-правовые акты органов местного самоуправления, регулирующие отношения в области налогов и сборов, а именно:</w:t>
      </w:r>
    </w:p>
    <w:p w:rsidR="00581BF7" w:rsidRPr="00581BF7" w:rsidRDefault="00581BF7" w:rsidP="002A547F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налогообложения имущества физических лиц, с введением с 01.01.2015 года на территории Новгородской области порядка взимания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 исходя из кадастровой стоимости объектов недвижимости;</w:t>
      </w:r>
    </w:p>
    <w:p w:rsidR="00581BF7" w:rsidRPr="00581BF7" w:rsidRDefault="00581BF7" w:rsidP="002A547F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-установления с 01.01.2015 года на территории Новгородской области определения налоговой базы по налогу на имущество организаций исходя из кадастровой стоимости объектов недвижимого имущества;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ставки по налогообложению имущества физических лиц с 01.01.2015 года на территории сельского поселения.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бюджет налога на доходы физических лиц на 2017-2019 годы прогнозируется исходя из его ожидаемого исполнения за 2016 год, объем поступлений налога на доходы физических лиц прогнозируется на 2017-2019 годы по 10 000 рублей ежегодно или планируется снижение поступлений по данному налогу на 50 процентов к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первоначально утвержденным плановым показателям и на 30,6 процентов ожидаемому исполнению за 2016 год.</w:t>
      </w:r>
      <w:proofErr w:type="gramEnd"/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бюджетном и налоговом законодательстве с 01.01.2016 года повлекли следующие коррективы в поступлениях налоговых доходов в проекте бюджета сельского поселения на 2017 год и на плановый период 2018 и 2019 годов в перераспределение нормативов отчислений налога на доходы физических лиц между бюджетами муниципальных районов и бюджетами сельских поселения (</w:t>
      </w:r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№ 2 к проекту о бюджете муниципального района на 2017 год</w:t>
      </w:r>
      <w:proofErr w:type="gramEnd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), норматив – 2 %.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текстовой части проекта решения о бюджете поселения на 2017 год и на плановый 2018 и 2019 годов пунктом 5 </w:t>
      </w:r>
      <w:proofErr w:type="gramStart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утверждены</w:t>
      </w:r>
      <w:proofErr w:type="gramEnd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нормативны распределения доходов между бюджетом муниципального района и бюджетом </w:t>
      </w:r>
      <w:proofErr w:type="spellStart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Белебелковского</w:t>
      </w:r>
      <w:proofErr w:type="spellEnd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 на 2017 год и на плановый 2018 и 2019 годов, согласно приложения 2 к настоящему решению, следует утвердить «Нормативы распределения доходов в бюджет </w:t>
      </w:r>
      <w:proofErr w:type="spellStart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Белебелковского</w:t>
      </w:r>
      <w:proofErr w:type="spellEnd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 на 2017 год и на плановый период 2018 и 2019 годов, </w:t>
      </w:r>
      <w:proofErr w:type="gramStart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согласно приложения</w:t>
      </w:r>
      <w:proofErr w:type="gramEnd"/>
      <w:r w:rsidR="00581BF7"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 к настоящему решению».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№ 2 к решению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сельского поселения о бюджете на 2017 год и на плановый 2018 и 2019 годов следует привести в соответствие и с пунктом 2 статьи 184.1 Бюджетного кодекса Российской Федерации.</w:t>
      </w:r>
      <w:proofErr w:type="gramEnd"/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налоговых и неналоговых доходов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сельского поселения на 2017 год прогнозируются в сумме 2 294 900 рублей со снижением поступления доходов в 2017 году к первоначальному плану 2016 года на сумму 595 490 рублей или на 20,6 процента и снижение к ожидаемому исполнению за 2016 год на сумму 1324 699 рублей или на 36,6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налоговых и неналоговых доходов бюджета сельского поселения основным доходным источником является доходы от уплаты акцизов по акцизным товарам. 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доходов от уплаты акцизов по акцизным товарам увеличивается и составляет: в 2014 году – 16,45 процента, в 2015 году – 26,8 процента, в 2016 году – 45,6 процента, в 2017 году – 70,06, в 2018 году – 73,09 процентов, в 2019 году – 72,9 процентов от поступления собственных доходов в бюджет поселения.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с физических лиц на 2017-2019 годы планируется по 27 000 рублей ежегодно или к 2016 год прогнозируется снижение на 46,0 процентов или на 23 000 рублей.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запланирован на 2017 год в сумме 520 000 рублей, на 2018 год -525 000 рублей, на 2019 год – 530 000 рублей или в сравнении с первоначально утвержденным плановым показателям на 2016 год выше на 5 000 рублей или на 0,97 процентов, а также каждый прогнозный показатель к предыдущему году выше на 5 000 рублей.</w:t>
      </w:r>
      <w:proofErr w:type="gramEnd"/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в бюджет поселения от государственной пошлины прогнозируются на 2017 год и на плановый период 2018 и 2019 годов по 9 000 рублей ежегодно. 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Удельный вес неналоговых доходов имеет снижение с 40,1 процента в 2016 году до 5,27 процента в 2017 году 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174 Бюджетного кодекса Российской Федерации доходы бюджетов прогнозируются на основе прогноза социально-экономического развития территории. В связи с уточнением в октябре месяце текущего года отдельных показателей Прогноза на 2016 год.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доходы запланированы на 2017 год в размере 121 000 рублей, на 2018-2019 годы по 21 000 рублей ежегодно или снижение к плановым поступлениям 2016 года составляет 89,5 процентов и в 2018 году к 2017 году -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82,65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бюджет от доходов от арендной платы земельные участки, находящегося в муниципальной собственности на 2017-2019 годы прогнозируются исходя из плановых показателей 2016 года 20 000 рублей.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от реализации муниципального имущества поселения планируется на 2017-2019 годы по 100 000 рублей ежегодно.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Прогнозируется поступление доходов от продажи земельных участков, находящихся в муниципальной собственности в сумме 737 390 рублей.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штрафов в бюджет поселения на 2017-2019 годы запланировано по 1000 рублей ежегодно. 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Безвозмездные поступления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планируются в сумме 4 226 420 рублей или рост к 2016 году на 1 698 310 рублей или на 67,18 процентов, а 2018 году - 3357020 рублей, в 2019 году – 3356220 рублей. 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безвозмездных поступлений от других бюджетов бюджетной системы Российской Федерации к общим доходам бюджета сельского поселения в 2017 году составит 65,0 процентов.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дотации от других бюджетов бюджетной системы РФ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предусмотрен в сумме 3 823 800 рублей или 89,63 процента к сумме безвозмездных поступлений на 2017 год. Объем финансирования дотации на выравнивание бюджетной обеспеченности на 2018 год прогнозируется в размере 3 104 500 рублей, на 2019 год в размере 3 103 500 рублей.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субсидий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 предусмотрен в сумме 351900 рублей или 8,25 процентов, в 2018-2019 годы по 162 000 рублей ежегодно.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на осуществление дорожной деятельности в отношении автомобильных дорог общего пользования местного значения на 2017 год из областного бюджета в сумме 324 000 рублей, в 2018-2019 годы по 162 000 рублей ежегодно.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субвенций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2017-2019 годы предусмотрен в сумме 90720 рублей ежегодно. 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на осуществляющих государственные полномочия по первичному воинскому учету на территориях, где отсутствуют военные комиссариаты на 2017-2019 годы запланирована по 85 320 рублей ежегодно.</w:t>
      </w:r>
      <w:proofErr w:type="gramEnd"/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правонарушениях» запланирована на 2017-2019 годы по 500 рублей ежегодно.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Субвенция на возмещение затрат по содержанию штатных единиц, осуществляющих переданные отдельные государственные полномочия области на 2017 год и на плановый период 2018 и 2019 годов по 4900 рублей ежегодно.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межбюджетные трансферты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в 2017 году в сумме 27900 рублей (Межбюджетные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соглашениями):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в границах поселения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 в сумме 300 рублей,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 » на 2017 год в сумме 300 рублей,</w:t>
      </w:r>
      <w:proofErr w:type="gramEnd"/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</w:t>
      </w:r>
      <w:r w:rsidR="002A5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в размере 27 300 рублей.</w:t>
      </w:r>
      <w:proofErr w:type="gramEnd"/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 материалов и документов, представленных одновременно с проектом бюджета, во исполнение ст.37 Бюджетного кодекса РФ, представлены расчеты прогнозируемого поступления доходов.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обоснованности расчетов поступлений налоговых и неналоговых доходов бюджета сельского поселения,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экспертизы проекта бюджета, 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прогнозы поступлений по основным налоговым и неналоговым доходам рассчитаны в соответствии с соответствии с </w:t>
      </w:r>
      <w:hyperlink r:id="rId4" w:tgtFrame="_blank" w:history="1">
        <w:r w:rsidRPr="00581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160.1</w:t>
        </w:r>
      </w:hyperlink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Правительство Российской Федерации и постановлением Правительства Российской Федерации от 23 июня 2016 г. N 574 «</w:t>
      </w: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ОБЩИХ ТРЕБОВАНИЯХ К МЕТОДИКЕ ПРОГНОЗИРОВАНИЯ ПОСТУПЛЕНИЙ ДОХОДОВ В БЮДЖЕТЫ БЮДЖЕТНОЙ СИСТЕМЫ РОССИЙСКОЙ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и утверждением Методики прогнозирования доходов в бюджет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главным администратором доходов является Администрация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исходя из ожидаемых объемов поступлений налогов в 2016 году и прогнозных значений соответствующих показателей Прогноза (распоряжение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25.07.2016 года № 15).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Главным администратором налоговых доходов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является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 по Новгородской области. Прогноз поступлений налоговых доходов на 2017 год, представленный с проектом бюджета, 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соответствует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прогнозным значениям по соответствующим показателям, подготовленными Межрайонной ИФНС России № 2 Новгородской области.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доходной базы осуществлялось исходя из налогового потенциала территории на основе прогноза администраторов платежей в бюджет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на плановый период 2018 и 2019 годов.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расчете налога на доходы физических лиц в бюджет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2017-2019 годы применялся норматив в размере 2 %, при расчете единого сельскохозяйственного налога норматив - 30 %, налог на товары (работы, услуги), реализуемые на территории РФ норматив - 100 %.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 сельского поселения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планирования бюджетных ассигнований бюджета сельского поселения на 2017 год и на плановый период 2018 и 2019 годов утверждено распоряжение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30.08.2016 № 18а (далее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планирования бюджетных ассигнований). Согласно Методике планирования бюджетных ассигнований в основу планирования расходной части бюджета сельского поселения заложены индексный, нормативный и плановый методы. Методикой планирования бюджетных ассигнований учтены основные подходы к формированию расходов бюджета сельского поселения: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</w:t>
      </w:r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2018 и 2019 годов сформированы исходя из следующих позиций: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581B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при расчете объемов бюджетных ассигнований на 2017 год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581B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«базовых»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Pr="00581B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бюджетные ассигнования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 год</w:t>
      </w:r>
      <w:r w:rsidRPr="00581B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предусмотренные в решении Совета депутатов </w:t>
      </w:r>
      <w:proofErr w:type="spellStart"/>
      <w:r w:rsidRPr="00581B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 от 25.12.2015 № 16 «О бюджете </w:t>
      </w:r>
      <w:proofErr w:type="spellStart"/>
      <w:r w:rsidRPr="00581B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сельского поселения на 2016 год»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1.01.2016 года, с учетом анализа изменений структуры расходов и отраслевых особенностей;</w:t>
      </w:r>
      <w:proofErr w:type="gramEnd"/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принятых обязательств уточнен с учетом прекращающихся расходных обязательств ограниченного срока действия и проводимых мероприятий по оптимизации сети и штатной численности;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бюджетные ассигнования на оплату коммунальных услуг муниципальными учреждениями в 2017 году определены исходя из ожидаемых расходов на оплату коммунальных услуг в 2016 году (с учетом тарифов, действующих с 01.07.2016 года) и предполагаемого среднегодового роста расходов в 2017 году.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расходы на материальные затраты сохранены на уровне 2016 года;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расходы бюджета муниципального района на плановый период 2018-2019 годов планируются на уровне рассчитанных ассигнований на 2017 год.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расходов в 2018 году произведено на 13,0%, а в 2019 году на 14,0% (за исключением расходов дорожного фонда Новгородской области и расходов менее 100 000 рублей по отдельно взятому мероприятию (отдельной целевой статье), сформированных в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Методикой планирования бюджетных ассигнований бюджета сельского поселения на 2017 год и на плановый период 2018 и 2019 годов связано со снижением дотации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выравнивание бюджетной обеспеченности на 2018 и 2019 года.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предусмотренных бюджетных ассигнований обеспечивается реализация расходных полномочий муниципального района и переданных полномочий субъекта Российской Федерации, согласно Федерального Закона 131-ФЗ от 06.10.2003 «Об общих принципах местного самоуправления в Российской Федерации»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27.05.2014 года).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предусмотренных бюджетных ассигнований обеспечивается реализация расходных полномочий поселения и переданных полномочий.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реализацию муниципальных программам, предусмотрены в соответствии с разработанным постановлением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09.09.2013 № 58 «Об утверждении порядка принятия решений о разработке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формирования и реализации» о проектах программ.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расходов бюджета сельского поселения на 2017-2019 годы являются расходы на общегосударственные вопросы и национальная экономика, из них: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-расходы на общегосударственные вопросы (2017 год – 33,1 процент,2018 год – 39,84 процентов, 2019 год – 41,28 процентов от общего объема расходов);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национальную экономику (2017 год – 37,08 процентов, 2018 год – 32,03 процентов, 2019 год – 32,01 процентов от общего объема расходов);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жилищно-коммунальное хозяйство (2017 год – – 22,29 процентов, 2018 год – 19,21 процентов, 2019 год – 17,80 процентов от общего объема расходов).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разделам функциональной классификации расходов приведена в таблице: </w:t>
      </w: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97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840"/>
        <w:gridCol w:w="970"/>
        <w:gridCol w:w="970"/>
        <w:gridCol w:w="970"/>
        <w:gridCol w:w="625"/>
        <w:gridCol w:w="956"/>
        <w:gridCol w:w="1509"/>
      </w:tblGrid>
      <w:tr w:rsidR="00581BF7" w:rsidRPr="00581BF7" w:rsidTr="00581BF7">
        <w:trPr>
          <w:tblCellSpacing w:w="0" w:type="dxa"/>
        </w:trPr>
        <w:tc>
          <w:tcPr>
            <w:tcW w:w="295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2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1BF7" w:rsidRPr="00581BF7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1BF7" w:rsidRPr="00581BF7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 утвержденный бюджет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ind w:left="-43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2017/к 2016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2169900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2214000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2295700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2162000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85320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</w:tr>
      <w:tr w:rsidR="00581BF7" w:rsidRPr="00581BF7" w:rsidTr="00581BF7">
        <w:trPr>
          <w:trHeight w:val="28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128500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2433200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1779900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1779900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1528700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159,2</w:t>
            </w:r>
          </w:p>
        </w:tc>
      </w:tr>
      <w:tr w:rsidR="00581BF7" w:rsidRPr="00581BF7" w:rsidTr="00581BF7">
        <w:trPr>
          <w:trHeight w:val="10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1462800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1067600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1270200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261600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1BF7" w:rsidRPr="00581BF7" w:rsidTr="00581BF7">
        <w:trPr>
          <w:trHeight w:val="270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1BF7" w:rsidRPr="00581BF7" w:rsidTr="00581BF7">
        <w:trPr>
          <w:trHeight w:val="30"/>
          <w:tblCellSpacing w:w="0" w:type="dxa"/>
        </w:trPr>
        <w:tc>
          <w:tcPr>
            <w:tcW w:w="2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6561320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5556920</w:t>
            </w:r>
          </w:p>
        </w:tc>
        <w:tc>
          <w:tcPr>
            <w:tcW w:w="9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5561120</w:t>
            </w:r>
          </w:p>
        </w:tc>
        <w:tc>
          <w:tcPr>
            <w:tcW w:w="10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5181900</w:t>
            </w:r>
          </w:p>
        </w:tc>
        <w:tc>
          <w:tcPr>
            <w:tcW w:w="8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</w:tr>
    </w:tbl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особенностями формирования проекта бюджета послужили: изменения бюджетной классификации целевых статей расходов бюджета сельского поселения, заключающиеся в применении с 1 января 2015 года новых Указаний о порядке применения целевых статей классификации расходов бюджета (приказ Министерства Финансов Российской Федерации от 01.07.2013 № 65н с учетом изменений на 08 июля 2015 года № 90н,), обеспечивающие большую прозрачность планирования бюджетных ассигнований;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усиление программно-целевых подходов при формировании бюджетных расходов, направленных на результативность достижимых целей и возможность оценки эффективности использования затраченных ресурсов.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подготовлен проект постановление «О порядке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целевых статей классификации расходов бюджета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год»</w:t>
      </w:r>
      <w:r w:rsidRPr="00581B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экспертно-аналитического мероприятия по проекту бюджета сельского поселения, анализ структуры бюджетных расходов позволяют сделать вывод о том, что в 2017 году и на 2018 и 2019 годов: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01 «Общегосударственные вопросы»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разделу «Общегосударственные вопросы»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 на 2017 год запланированы в сумме 2 169 900 рублей, что составляет 100,3 процента к первоначальному бюджету 2016 года, на 2018 год в размере 2214000 рублей или 102,0 процента к 2017 году, на 2019 год – 2295700 рублей или 103,7 процентов к 2018 году.</w:t>
      </w:r>
      <w:proofErr w:type="gramEnd"/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5"/>
        <w:gridCol w:w="1243"/>
        <w:gridCol w:w="1197"/>
        <w:gridCol w:w="1500"/>
      </w:tblGrid>
      <w:tr w:rsidR="00581BF7" w:rsidRPr="00581BF7" w:rsidTr="00581BF7">
        <w:trPr>
          <w:tblHeader/>
          <w:tblCellSpacing w:w="0" w:type="dxa"/>
        </w:trPr>
        <w:tc>
          <w:tcPr>
            <w:tcW w:w="49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9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</w:tr>
      <w:tr w:rsidR="00581BF7" w:rsidRPr="00581BF7" w:rsidTr="00581BF7">
        <w:trPr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1BF7" w:rsidRPr="00581BF7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57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57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57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4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 – всего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2169900</w:t>
            </w:r>
          </w:p>
        </w:tc>
        <w:tc>
          <w:tcPr>
            <w:tcW w:w="1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2214000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2295700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4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подразделам</w:t>
            </w:r>
          </w:p>
        </w:tc>
        <w:tc>
          <w:tcPr>
            <w:tcW w:w="390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BF7" w:rsidRPr="00581BF7" w:rsidTr="00581BF7">
        <w:trPr>
          <w:tblCellSpacing w:w="0" w:type="dxa"/>
        </w:trPr>
        <w:tc>
          <w:tcPr>
            <w:tcW w:w="4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</w:t>
            </w:r>
            <w:proofErr w:type="gramEnd"/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должностного 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субъекта Российской Федерации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556 200</w:t>
            </w:r>
          </w:p>
        </w:tc>
        <w:tc>
          <w:tcPr>
            <w:tcW w:w="1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556200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556200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4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аппарата управления 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 местного самоуправления</w:t>
            </w: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81BF7" w:rsidRPr="00581BF7" w:rsidRDefault="00581BF7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законодательных (представительных) </w:t>
            </w:r>
          </w:p>
          <w:p w:rsidR="00581BF7" w:rsidRPr="00581BF7" w:rsidRDefault="00581BF7" w:rsidP="0057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государственной власти и представительных органов муниципальных образований, передача полномочий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1465400</w:t>
            </w:r>
          </w:p>
        </w:tc>
        <w:tc>
          <w:tcPr>
            <w:tcW w:w="1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1463800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1340500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4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94300</w:t>
            </w:r>
          </w:p>
        </w:tc>
        <w:tc>
          <w:tcPr>
            <w:tcW w:w="1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4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4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49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49000</w:t>
            </w:r>
          </w:p>
        </w:tc>
        <w:tc>
          <w:tcPr>
            <w:tcW w:w="11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189000</w:t>
            </w:r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299000</w:t>
            </w:r>
          </w:p>
        </w:tc>
      </w:tr>
    </w:tbl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раздела 01 «Общегосударственные вопросы» предусмотрены бюджетные ассигнования на следующие расходы: </w:t>
      </w:r>
    </w:p>
    <w:p w:rsidR="00581BF7" w:rsidRPr="00581BF7" w:rsidRDefault="00581BF7" w:rsidP="0057399B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01 02 «Функционирование высшего должностного лица субъекта Российской Федерации и муниципального образования»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подразделу предусмотрены средства на обеспечение деятельности Главы поселения на 2017 год и плановый период 2018 и 2019 годов - 556200 рублей ежегодно.</w:t>
      </w:r>
    </w:p>
    <w:p w:rsidR="00581BF7" w:rsidRPr="00581BF7" w:rsidRDefault="00581BF7" w:rsidP="0057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Подраздел 01 04 «Функционирование Правительства Российской Федерации, высших исполнительных органов государственной власти субъектов Российской </w:t>
      </w:r>
    </w:p>
    <w:p w:rsidR="00581BF7" w:rsidRPr="00581BF7" w:rsidRDefault="00581BF7" w:rsidP="00573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Федерации, местных администраций»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подразделе предусмотрены средства:</w:t>
      </w:r>
    </w:p>
    <w:p w:rsidR="00581BF7" w:rsidRPr="00581BF7" w:rsidRDefault="0057399B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аппарата Администрации поселения в 2017 году -1465400 рублей, в 2018-1463800 рублей, в 2019 – 1340500 рублей.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01 06 «На обеспечение деятельности финансовых, налоговых и таможенных органов и органов финансовог</w:t>
      </w:r>
      <w:proofErr w:type="gramStart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о(</w:t>
      </w:r>
      <w:proofErr w:type="gramEnd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финансово-бюджетного)надзора»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 деятельности финансовых, налоговых и таможенных органов и органов финансовог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финансово-бюджетного)надзора предусмотрено в 2017 году прогнозируется направить 94300 рублей.</w:t>
      </w:r>
    </w:p>
    <w:p w:rsidR="00581BF7" w:rsidRPr="00581BF7" w:rsidRDefault="00581BF7" w:rsidP="0057399B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01 11 «Резервные фонды»</w:t>
      </w:r>
    </w:p>
    <w:p w:rsidR="00581BF7" w:rsidRPr="00581BF7" w:rsidRDefault="00581BF7" w:rsidP="0057399B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составе бюджета поселения резервных фондов определяются следующими нормативными правовыми актами: Бюджетный кодекс Российской Федерации; постановление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28.12.2009 года № 35 «О порядке использования бюджетных ассигнований резервного фонда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предусмотрены расходы в 2017 году и плановом периоде 2018 и 2019 годах по 5000 рублей ежегодно.</w:t>
      </w:r>
    </w:p>
    <w:p w:rsidR="00581BF7" w:rsidRPr="00581BF7" w:rsidRDefault="00581BF7" w:rsidP="0057399B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 01 13 «Другие общегосударственные вопросы»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данном подразделе предусмотрены расходы:</w:t>
      </w:r>
    </w:p>
    <w:p w:rsidR="00581BF7" w:rsidRPr="00581BF7" w:rsidRDefault="0057399B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опубликование нормативных правовых актов в средствах массовой информации, на выполнение других обязательств в 2017 году – 49 000 рублей</w:t>
      </w:r>
      <w:proofErr w:type="gram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году- 49000 рублей, в 2019 году – 24000 рублей. Условно утвержденные расходы составляют в 2018 году – 140000 рублей, в 2019 году – 275000 рублей.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мероприятий по муниципальной программе «Повышение эффективности бюджетных расходов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2014-2017 годы» на 2017 год запланировано в сумме 1 000 рублей;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 запланированы на 2017-2019 годы в сумме 500 рублей </w:t>
      </w:r>
      <w:r w:rsidRPr="00581B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целевой статье « 01 04 91 000 70650» ежегодно.</w:t>
      </w:r>
    </w:p>
    <w:p w:rsidR="00581BF7" w:rsidRPr="00581BF7" w:rsidRDefault="0057399B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расходы по резервному фонду Администрации сельского поселения - 5000 рублей ежегодно или на уровне 2016 года;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«Другие общегосударственные вопросы»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оплата за опубликование нормативно-правовых актов в сумме 49 000 рублей на 2017 год;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-выполнение мероприятий по муниципальной программе «Развитие местного самоуправления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2014-2017 годы» на 2017 год запланировано в сумме 10 000 рублей;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муниципальной программе «О противодействии коррупции 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2014-2017 годы» в сумме 1000 рублей.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ведомственной структуре расходов проекта бюджета сельского поселения на 2017 год и плановый период 2018 и 2019 годов (приложение № 6 к проекту решения Совета депутатов сельского поселения) сумма расходов соответствует текстовой сумме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проекта решения Совета депутатов сельского поселения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расходной части бюджета сельского поселения является Администрация сельского поселения.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межбюджетных трансфертов в бюджете сельского поселения предусмотрено из бюджета сельского поселения на частично переданные полномочия по решениям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местного значения в соответствии с заключенными соглашениями на 2017 год по разделу «Общегосударственные вопросы» 94300 рублей.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Межбюджетные трансферты бюджетам сельских поселений муниципального района распределены в соответствии с методиками, утвержденными областным законодательством и нормативными актами муниципального района.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резервного фонда учтены требования статьи 81 Бюджетного Кодекса Российской Федерации.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экспертно-аналитического мероприятия, проведенного по экспертизе проекта решения о бюджете, установили следующее: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проекта бюджета показал, что имеются расхождения между объемами бюджетных ассигнований, предусмотренных на выполнение программ в проекте бюджета, и объемами финансирования, предусмотренными утвержденными муниципальными программами, а именно: объемы бюджетных ассигнований на муниципальные программы 2016 года в проекте бюджета запланировано меньше на 53 100 рублей.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02 «Национальная оборона»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разделу «Национальная оборона»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 на 2017-2019 годы запланированы по 85 320 рублей, что составляет 119,3 процента к уточненному бюджету 2016 года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рост составил 13820 рублей). Данные расходы производятся за счет средств федерального бюджета и предусмотрены бюджету муниципального района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Субвенция из бюджета муниципального района распределена бюджетам сельских поселений в соответствии с методикой, утвержденной областным законодательством.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03 «Национальная безопасность и правоохранительная деятельность»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разделу «Национальная безопасность и правоохранительная деятельность»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 на 2017 год и на плановый период 2018 и 2019 годов запланированы бюджетные ассигнования 128 500 рублей, что на уровне 2016 года.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экспертно-аналитического мероприятия, проведенного по проекту бюджета, нарушений при расчете бюджетных ассигнований по оказанию услуг противопожарной безопасности, не установлено.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04 «Национальная экономика»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разделу 04 «Национальная экономика»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 на 2017 год и на плановый период 2018 и 2019 годов запланированы в сумме 2433200 рублей, 1779900 рублей и 1779900 рублей, что составляет 159,2 процента,73,1 процент и 100,0 процентов к предыдущему году.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проекту ведомственной структуры расходов бюджета сельского поселения по разделу 04 «Национальная экономика» на 2017-2019 годы предусмотрены расходы: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подразделу 04 05 «Сельское хозяйство»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направить в 2017 году в размере 50 000 рублей на выполнение мероприятий муниципальной программы «Устойчивое развитие сельских территорий 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2014-2017 году», в 2018-2019 годах по 10000 рублей. Данная программа утверждена с 2016 года.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«Совершенствование и содержание дорожного хозяйства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2014-2017 годы» запланировано в 2017 году в сумме 1 931 900 рублей, в 2018-2019 годы по 1769900 рублей ежегодно.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данному подразделу 0409 «Дорожное хозяйство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направляются все налоги с доходов от уплаты акцизов за нефтепродукты.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экспертно-аналитического мероприятия, проведенного по экспертизе проекта решения о бюджете, установили следующее: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проекта бюджета показал, что имеются расхождения между объемами бюджетных ассигнований, предусмотренных на выполнение программы в проекте бюджета, и объемами финансирования, предусмотренными утвержденной муниципальной программой «Совершенствование и содержание дорожного хозяйства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2014-2017 годы», а именно: объемы бюджетных ассигнований на выполнение мероприятий муниципальной программы 2017 года меньше на 810 040 рублей, на 2018-2019 года финансирование программы не предусмотрено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программа рассчитано до 2017 года.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подразделу 04 12 «Другие вопросы в области национальной экономики»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ассигнования на 2017 год в размере 451 300 рублей на проведение кадастровых работ.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 «Жилищно-коммунальное хозяйство»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финансирование жилищно-коммунального хозяйства в бюджете поселения характеризуются следующими данными: рублей</w:t>
      </w:r>
    </w:p>
    <w:tbl>
      <w:tblPr>
        <w:tblW w:w="88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1"/>
        <w:gridCol w:w="1258"/>
        <w:gridCol w:w="1258"/>
        <w:gridCol w:w="1758"/>
      </w:tblGrid>
      <w:tr w:rsidR="00581BF7" w:rsidRPr="00581BF7" w:rsidTr="00581BF7">
        <w:trPr>
          <w:tblCellSpacing w:w="0" w:type="dxa"/>
        </w:trPr>
        <w:tc>
          <w:tcPr>
            <w:tcW w:w="45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поселения</w:t>
            </w:r>
          </w:p>
        </w:tc>
      </w:tr>
      <w:tr w:rsidR="00581BF7" w:rsidRPr="00581BF7" w:rsidTr="00581BF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81BF7" w:rsidRPr="00581BF7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объем, руб.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1462800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1067600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990100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в бюджетных ассигнованиях бюджета поселения, %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22,29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19,21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17,80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подразделам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236300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24 000</w:t>
            </w:r>
          </w:p>
        </w:tc>
      </w:tr>
      <w:tr w:rsidR="00581BF7" w:rsidRPr="00581BF7" w:rsidTr="00581BF7">
        <w:trPr>
          <w:trHeight w:val="45"/>
          <w:tblCellSpacing w:w="0" w:type="dxa"/>
        </w:trPr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334000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199000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199000</w:t>
            </w:r>
          </w:p>
        </w:tc>
      </w:tr>
      <w:tr w:rsidR="00581BF7" w:rsidRPr="00581BF7" w:rsidTr="00581BF7">
        <w:trPr>
          <w:trHeight w:val="15"/>
          <w:tblCellSpacing w:w="0" w:type="dxa"/>
        </w:trPr>
        <w:tc>
          <w:tcPr>
            <w:tcW w:w="45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274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892500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844600</w:t>
            </w:r>
          </w:p>
        </w:tc>
        <w:tc>
          <w:tcPr>
            <w:tcW w:w="16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274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767100</w:t>
            </w:r>
          </w:p>
        </w:tc>
      </w:tr>
    </w:tbl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сумме бюджетных ассигнований в рамках муниципальной программы «Капитальный ремонт, ремонт и содержание муниципально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общественной)бани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2017-2019 годы»учтены следующие расходы на: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-возмещение убытков по бане в 2017 году - 194000 рублей, в 2018 году- 194000 рублей, в 2019 году – 194000 рублей, на ремонт бани в 2017 году – 90000 рублей, в 2018 году – 5000 рублей, в 2019 году – 5000 рублей.</w:t>
      </w:r>
    </w:p>
    <w:p w:rsidR="00581BF7" w:rsidRPr="00581BF7" w:rsidRDefault="00581BF7" w:rsidP="0057399B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«Капитальный ремонт, ремонт и содержание муниципального жилищного фонда 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2017-2019 годы» учтены расходы на ремонт и содержание муниципального фонда в 2017 году – 209000 рублей, в 2018 году – 24000 рублей, в 2019 году – 24000 рублей. </w:t>
      </w:r>
    </w:p>
    <w:p w:rsidR="00581BF7" w:rsidRPr="00581BF7" w:rsidRDefault="00581BF7" w:rsidP="0057399B">
      <w:pPr>
        <w:spacing w:before="274" w:after="27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благоустройство территорий поселения предусмотрены средства в 2017 году – 892500 рублей, в том числе на содержание уличного освещения будет направлено 822300 рублей; на содержание захоронений - 10 000 рублей; на расходы по прочим мероприятиям по благоустройству будет направлено -60200 рублей, в 2018 году - 844600 рублей, в том числе на содержание уличного освещения будет направлено 833800 рублей;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захоронений - 10 000 рублей; на расходы по прочим мероприятиям по благоустройству будет направлено -800 рублей, в 2019 году -767100 рублей, в том числе на содержание уличного освещения будет направлено 761100 рублей; на содержание захоронений - 5000 рублей; на расходы по прочим мероприятиям по благоустройству будет направлено -1000 рублей.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07 «Образование»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разделу «Образование» в проекте бюджета сельского поселения на 2017-2019 годы запланированы по 2000 рублей по подразделу 07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«Молодежная политика», что соответствует уточненному бюджету 2016 года.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подразделу 07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«Молодежная политика»: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проекте бюджета сельского поселения предусматривается финансирование программы «Молодежь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2014-2017 годы» по 1000 рублей ежегодно;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-муниципальная программа «Увековечивание памяти погибших при защите Отечества на территории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2014-2017 годы» по 1000 рублей ежегодно.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08 «Культура и кинематография»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разделу 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«Культура и кинематография»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 на 2017-2019 годы запланированы по 14000 рублей ежегодно, что на уровне 2016 года.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раздела на 2016 год предусмотрены бюджетные ассигнования на следующие расходы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мероприятия в сфере культуры реализуются через утвержденную муниципальную целевую программу «Развитие культуры и туризма 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2014-2017 годы» – в сумме 14 000 рублей.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бюджета сельского поселения предусмотрены бюджетные ассигнования в виде предусмотренных в рамках МП «Развитие культуры и туризма 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2014-2017 годы» в сумме 14,0 тыс. рублей.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в сфере культуры сформированы с учетом необходимости обеспечения проведения культурно-массовых мероприятий и реализации муниципальной программы в сфере культуры.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 «Социальная политика»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«Социальная политика» расходы на 2017-2019 годы составляют по 261 600 рублей ежегодно. Данные бюджетные ассигнования запланированы </w:t>
      </w:r>
      <w:r w:rsidRPr="00581B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подразделу 1001 «Пенсионное обеспечение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Расходы по данному подразделу осуществляются за счет из бюджета сельского поселения: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Расчет, представленный Администрации сельского поселения, подтверждает обоснованность запланированных расходов на выплату пенсий муниципальным служащим по подразделу 10 01).</w:t>
      </w:r>
      <w:proofErr w:type="gramEnd"/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расчетов нарушений не установлено. Сумма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представленного расчета на выплату пенсии за выслугу лет на 2017 год составляет 261 600 рублей. В проекте бюджета сельского поселения объем бюджетных ассигнований по подразделу 10 01 «Пенсионное обеспечение» определен в размере 261 600 рублей.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предусматриваются на выплату муниципальной пенсии за выслугу лет за счет средств бюджета сельского поселения.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увеличение связано с вступлением в силу 01.01.2016 года изменений в федеральное законодательство и принятием на местном уровне Порядка назначения, выплаты и перерасчета 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утвержденного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25.03.2016 № 6 «Об утверждении Порядка назначения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выплаты и перерасчета пенсии за выслугу лет муниципальным служащим, а также лицам, замещавшим муниципальные должности 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и с учетом последующих внесенных изменений.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 «Физическая культура и спорт»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по 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разделу «Физическая культура и спорт»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проекте бюджета на 2017-2019 годы запланированы по 4000 рублей ежегодно, что составляет на уровне 2016 года.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раздела предусмотрены бюджетные ассигнования на следующие расходы: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муниципальной программы в сумме 4000 рублей (в объемах, предусмотренных паспортами программ), в том числе на финансирование на МП «Развитие физической культуры и спорта на территории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2014-2017 годы». При этом ассигнования на мероприятия в области спорта и физической культуры в рамках МП планируются на уровне уточненного бюджета 2016 года.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Проверкой, экспертно-аналитического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проведенного по проекту бюджета сельского поселения нарушений не установлено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на реализацию муниципальных программ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бюджетного законодательства проект бюджета сформирован на основе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муниципальные программы). Примененный программно-целевой метод планирования способствует повышению результативности бюджетных расходов, так как муниципальные программы отражают целевые показатели и ожидаемые конечные результаты исходя из необходимости достижения приоритетов и целей государственной политики в сфере социально-экономического развития сельского поселения.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утвержденным Перечнем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расходы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реализацию муниципальных программам, предусмотрены в соответствии с разработанным постановлением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09.09.2013 № 58 «Об утверждении порядка принятия решений о разработке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формирования и реализации» о проектах программ» в 2016 году утверждено 12 муниципальных программ, которые продолжают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2017 году</w:t>
      </w:r>
      <w:r w:rsidRPr="00581B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финансирование муниципальных программ в проекте бюджета на 2017 год предусмотрено 2556900 рублей или 38,97 процентов расходов бюджета сельского поселения, на 2018 год – 2034900 рублей или 36,61 процент, на 2019 год -2029900 рублей или 36,5 процентов. Распределение бюджетных ассигнований на реализацию муниципальных программ на 2017 год и на плановый период 2018 и 2019 годов утверждено приложением 8 к проекту решения Совета депутатов сельского поселения. Анализ проекта бюджета показал, что имеются расхождения между объемами бюджетных ассигнований, предусмотренных на выполнение муниципальных программ в проекте бюджета и объемами финансирования, предусмотренными утвержденными муниципальными программами.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 12 программ, в сравнении с их паспортами проектом бюджета предусматривается на 2017 год по 2 новым программам, которые вступают в действие с 01.01.2017 ода на сумму 493000 рублей, увеличение бюджетных ассигнований предусмотрено по 1 программе на сумму 810040 рублей, уменьшение – по 3 программам на сумму 410100 рублей, по двум программы планируются на уровне утвержденных ассигнований, 1 программа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01.01.2017 года.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увеличение бюджетных ассигнований </w:t>
      </w:r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программных мероприятий в сравнении с утвержденными параметрами программ составило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на 893940 рублей (более чем в 2 раза. </w:t>
      </w:r>
      <w:proofErr w:type="gramEnd"/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проекта бюджета сельского поселения на 2017 год и на плановый период 2018 и 2019 годов произведено с применением программного принципа планирования и исполнения бюджета, с обеспечением качественной разработки и своевременного утверждения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соответствуют приоритетам и реальным возможностям бюджета сельского поселения, обеспечивают взаимосвязь с основными параметрами оказания муниципальных услуг и планами структурных реформ, что соответствует целям обоснования проекта бюджетных ассигнований, повышения результативности бюджетных расходов в проекте бюджета и эффективности расходования на реализацию муниципальных программ.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расходов на муниципальные программы в расходах отрасли предусматривается на 2017 год по подразделам 04 09 «Дорожное хозяйство» (29,44 процентов), «Коммунальное хозяйство» (8,27 процентов).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экспертно-аналитического мероприятия, проведенного по экспертизе проекта решения о бюджете, установили следующее: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проекта бюджета показал, что имеются расхождения между объемами бюджетных ассигнований, предусмотренных на выполнение программ в проекте бюджета, и объемами финансирования, предусмотренными утвержденными муниципальными программами.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экспертно-аналитического мероприятия, проведенного по проекту бюджета, позволяют сделать следующие основные выводы:</w:t>
      </w:r>
    </w:p>
    <w:p w:rsidR="00581BF7" w:rsidRPr="00581BF7" w:rsidRDefault="00581BF7" w:rsidP="0057399B">
      <w:pPr>
        <w:spacing w:before="27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форме и содержанию проект решения соответствует положениям Бюджетного кодекса Российской Федерации.</w:t>
      </w:r>
    </w:p>
    <w:p w:rsidR="00581BF7" w:rsidRPr="00581BF7" w:rsidRDefault="00581BF7" w:rsidP="0057399B">
      <w:pPr>
        <w:spacing w:before="27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 бюджета сельского поселения сбалансирован, составлен без дефицита.</w:t>
      </w:r>
    </w:p>
    <w:p w:rsidR="00581BF7" w:rsidRPr="00581BF7" w:rsidRDefault="00581BF7" w:rsidP="0057399B">
      <w:pPr>
        <w:spacing w:before="27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бюджета осуществлено с использованием новой бюджетной классификации.</w:t>
      </w:r>
    </w:p>
    <w:p w:rsidR="00581BF7" w:rsidRPr="00581BF7" w:rsidRDefault="00581BF7" w:rsidP="0057399B">
      <w:pPr>
        <w:spacing w:before="27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основании ст.65 Бюджетного кодекса Российской Федерации бюджет сельского поселения по расходам сформирован в соответствии с выполняемыми полномочиями, утвержденными вышеуказанным федеральным законом и на основании реестра расходных обязательств сельского поселения, составленного по состоянию на 01.05.2016 года.</w:t>
      </w:r>
    </w:p>
    <w:p w:rsidR="00581BF7" w:rsidRPr="00581BF7" w:rsidRDefault="00581BF7" w:rsidP="0057399B">
      <w:pPr>
        <w:spacing w:before="27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5.Бюджет сельского поселения сформирован в программном формате, что отвечает требованиям бюджетного законодательства.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ст. 157 Бюджетного кодекса Российской Федерации, п.3.6 Порядка принятия решений о разработке муниципальных программ и их формирования и реализации, утвержденного постановлением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09.09.2013 № 58 «Об утверждении порядка принятия решений о разработке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формирования и реализации» о проектах программ» в 2016 году утверждено 12 муниципальных программ, которые продолжают действовать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 К материалам проекта бюджета сельского поселения представлены паспорта муниципальных программ в соответствии со ст.184.2 Бюджетного кодекса Российской Федерации</w:t>
      </w:r>
      <w:r w:rsidRPr="00581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решения Совета депутатов о бюджете в Приложении.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целом объемы бюджетных ассигнований обеспечивают выполнение социальных обязательств, обязательств по оплате труда работникам органов местного самоуправления, реализацию муниципальных программ и других мероприятий, необходимых для реализации политики в соответствующих сферах.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к решению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 на 2017 год и на плановый 2018 и 2019 годов следует привести в соответствие и с пунктом 2 статьи 184.1 Бюджетного кодекса Российской Федерации.</w:t>
      </w:r>
      <w:proofErr w:type="gramEnd"/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для экспертизы проект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своим основным характеристикам соответствует целям и задачам в области бюджетной политики. Контрольно-счетная Палата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считает, что целесообразным при рассмотрении проекта бюджета учесть замечания, указанные в настоящем Заключении. 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и содержанию проект решения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 год и на плановый период 2018 и 2019 годов» соответствует положениям Бюджетного кодекса Российской Федерации. </w:t>
      </w:r>
    </w:p>
    <w:p w:rsidR="00581BF7" w:rsidRPr="00581BF7" w:rsidRDefault="00581BF7" w:rsidP="0057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proofErr w:type="gramEnd"/>
    </w:p>
    <w:p w:rsidR="00581BF7" w:rsidRPr="00581BF7" w:rsidRDefault="00581BF7" w:rsidP="0057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Палаты </w:t>
      </w:r>
      <w:r w:rsidR="0057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Г.В.Тыщенко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54" w:rsidRDefault="00D72354"/>
    <w:sectPr w:rsidR="00D72354" w:rsidSect="00581BF7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581BF7"/>
    <w:rsid w:val="002A547F"/>
    <w:rsid w:val="00543253"/>
    <w:rsid w:val="0057399B"/>
    <w:rsid w:val="00581BF7"/>
    <w:rsid w:val="0058396B"/>
    <w:rsid w:val="00D7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54"/>
  </w:style>
  <w:style w:type="paragraph" w:styleId="1">
    <w:name w:val="heading 1"/>
    <w:basedOn w:val="a"/>
    <w:link w:val="10"/>
    <w:uiPriority w:val="9"/>
    <w:qFormat/>
    <w:rsid w:val="0058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https%253A%252F%252Fclck.yandex.ru%252Fredir%252Fdv%252F*data%253Durl%25253Dconsultantplus%2525253A%2525252F%2525252Foffline%2525252Fref%2525253D29F370B2148DE718288711F77ED32B9160D7CB85E0BF397E1BC29DB66B1859EB4D969C58A916P0u4J%252526ts%25253D1474877714%252526uid%25253D1416316971412230462%2526sign%253Dc4b92f4655a591bdfe4fd726e6c5c31f%2526keyno%253D1%26ts%3D1482130031%26uid%3D1416316971412230462&amp;sign=00e7e8425fb9a5ff97e022dd564eda3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7692</Words>
  <Characters>43845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</cp:revision>
  <dcterms:created xsi:type="dcterms:W3CDTF">2016-12-19T06:47:00Z</dcterms:created>
  <dcterms:modified xsi:type="dcterms:W3CDTF">2016-12-19T07:35:00Z</dcterms:modified>
</cp:coreProperties>
</file>