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E9" w:rsidRDefault="00051BE9" w:rsidP="00051BE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051BE9" w:rsidRDefault="00051BE9" w:rsidP="00051BE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подготовке проектов Правил землепользования и застройки 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сельского поселения  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51BE9" w:rsidRDefault="00051BE9" w:rsidP="00051BE9">
      <w:pPr>
        <w:rPr>
          <w:sz w:val="28"/>
          <w:szCs w:val="28"/>
        </w:rPr>
      </w:pPr>
    </w:p>
    <w:p w:rsidR="00051BE9" w:rsidRDefault="00051BE9" w:rsidP="00051BE9">
      <w:pPr>
        <w:rPr>
          <w:sz w:val="28"/>
          <w:szCs w:val="28"/>
        </w:rPr>
      </w:pPr>
      <w:r>
        <w:rPr>
          <w:sz w:val="28"/>
          <w:szCs w:val="28"/>
        </w:rPr>
        <w:t xml:space="preserve">с.Поддорье                                                                                </w:t>
      </w:r>
      <w:r>
        <w:rPr>
          <w:color w:val="000000" w:themeColor="text1"/>
          <w:sz w:val="28"/>
          <w:szCs w:val="28"/>
        </w:rPr>
        <w:t>2</w:t>
      </w:r>
      <w:r w:rsidR="005F0C47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2016 г.  </w:t>
      </w:r>
    </w:p>
    <w:p w:rsidR="00051BE9" w:rsidRDefault="00051BE9" w:rsidP="00051BE9">
      <w:pPr>
        <w:rPr>
          <w:sz w:val="28"/>
          <w:szCs w:val="28"/>
        </w:rPr>
      </w:pPr>
    </w:p>
    <w:p w:rsidR="00051BE9" w:rsidRDefault="00051BE9" w:rsidP="00051BE9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0"/>
        <w:gridCol w:w="6743"/>
      </w:tblGrid>
      <w:tr w:rsidR="00051BE9" w:rsidTr="008D1C6B">
        <w:tc>
          <w:tcPr>
            <w:tcW w:w="2518" w:type="dxa"/>
            <w:hideMark/>
          </w:tcPr>
          <w:p w:rsidR="00051BE9" w:rsidRDefault="00051BE9" w:rsidP="008D1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051BE9" w:rsidRDefault="00051BE9" w:rsidP="008D1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051BE9" w:rsidRDefault="00051BE9" w:rsidP="008D1C6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1BE9" w:rsidTr="008D1C6B">
        <w:tc>
          <w:tcPr>
            <w:tcW w:w="2518" w:type="dxa"/>
            <w:hideMark/>
          </w:tcPr>
          <w:p w:rsidR="00051BE9" w:rsidRDefault="00051BE9" w:rsidP="008D1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051BE9" w:rsidRDefault="00051BE9" w:rsidP="008D1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051BE9" w:rsidRDefault="00051BE9" w:rsidP="008D1C6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1BE9" w:rsidTr="008D1C6B">
        <w:tc>
          <w:tcPr>
            <w:tcW w:w="2518" w:type="dxa"/>
            <w:hideMark/>
          </w:tcPr>
          <w:p w:rsidR="00051BE9" w:rsidRDefault="00051BE9" w:rsidP="008D1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051BE9" w:rsidRDefault="00051BE9" w:rsidP="008D1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051BE9" w:rsidRDefault="00051BE9" w:rsidP="008D1C6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1BE9" w:rsidTr="008D1C6B">
        <w:tc>
          <w:tcPr>
            <w:tcW w:w="2518" w:type="dxa"/>
            <w:hideMark/>
          </w:tcPr>
          <w:p w:rsidR="00051BE9" w:rsidRDefault="00051BE9" w:rsidP="008D1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051BE9" w:rsidRDefault="00051BE9" w:rsidP="008D1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051BE9" w:rsidRDefault="00051BE9" w:rsidP="008D1C6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51BE9" w:rsidTr="008D1C6B">
        <w:tc>
          <w:tcPr>
            <w:tcW w:w="2518" w:type="dxa"/>
            <w:hideMark/>
          </w:tcPr>
          <w:p w:rsidR="00051BE9" w:rsidRDefault="00051BE9" w:rsidP="008D1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051BE9" w:rsidRDefault="00051BE9" w:rsidP="008D1C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051BE9" w:rsidRDefault="00051BE9" w:rsidP="008D1C6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597"/>
      </w:tblGrid>
      <w:tr w:rsidR="00051BE9" w:rsidRPr="00C43806" w:rsidTr="008D1C6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-Антонов А.Ю.  заместитель Главы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 </w:t>
            </w:r>
          </w:p>
        </w:tc>
      </w:tr>
      <w:tr w:rsidR="00051BE9" w:rsidRPr="00C43806" w:rsidTr="008D1C6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 w:rsidRPr="00C43806">
              <w:rPr>
                <w:sz w:val="28"/>
                <w:szCs w:val="28"/>
              </w:rPr>
              <w:t>Ясакова</w:t>
            </w:r>
            <w:proofErr w:type="spellEnd"/>
            <w:r w:rsidRPr="00C43806">
              <w:rPr>
                <w:sz w:val="28"/>
                <w:szCs w:val="28"/>
              </w:rPr>
              <w:t xml:space="preserve"> Е.И. председатель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 </w:t>
            </w:r>
          </w:p>
        </w:tc>
      </w:tr>
      <w:tr w:rsidR="00051BE9" w:rsidRPr="00C43806" w:rsidTr="008D1C6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-Николаева И.Н. служащий 1 категории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051BE9" w:rsidRPr="00C43806" w:rsidTr="008D1C6B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Члены комиссии:</w:t>
            </w:r>
          </w:p>
        </w:tc>
      </w:tr>
      <w:tr w:rsidR="00051BE9" w:rsidRPr="00C43806" w:rsidTr="008D1C6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-Ларионова Е.О. ведущий служащий отдела по работе с населением комитета по экономике и управлению </w:t>
            </w:r>
            <w:r w:rsidRPr="00C43806">
              <w:rPr>
                <w:sz w:val="28"/>
                <w:szCs w:val="28"/>
              </w:rPr>
              <w:t xml:space="preserve">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051BE9" w:rsidRPr="00C43806" w:rsidTr="008D1C6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-Петров С.Н. заместитель председателя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района, начальник отдела по работе с населением КЭУМИ;</w:t>
            </w:r>
          </w:p>
        </w:tc>
      </w:tr>
      <w:tr w:rsidR="00051BE9" w:rsidRPr="00C43806" w:rsidTr="008D1C6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Степанова О.А. ведущий специалист отдела по работе с кадрами и </w:t>
            </w:r>
            <w:proofErr w:type="spellStart"/>
            <w:r>
              <w:rPr>
                <w:sz w:val="28"/>
                <w:szCs w:val="28"/>
              </w:rPr>
              <w:t>протводействию</w:t>
            </w:r>
            <w:proofErr w:type="spellEnd"/>
            <w:r>
              <w:rPr>
                <w:sz w:val="28"/>
                <w:szCs w:val="28"/>
              </w:rPr>
              <w:t xml:space="preserve"> коррупции Администрации </w:t>
            </w:r>
            <w:proofErr w:type="spellStart"/>
            <w:r>
              <w:rPr>
                <w:sz w:val="28"/>
                <w:szCs w:val="28"/>
              </w:rPr>
              <w:t>Поддорского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051BE9" w:rsidRPr="00C43806" w:rsidTr="008D1C6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Хома</w:t>
            </w:r>
            <w:proofErr w:type="spellEnd"/>
            <w:r>
              <w:rPr>
                <w:sz w:val="28"/>
                <w:szCs w:val="28"/>
              </w:rPr>
              <w:t xml:space="preserve"> О.Д</w:t>
            </w:r>
            <w:r w:rsidRPr="00C438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главный специалист по</w:t>
            </w:r>
            <w:r w:rsidRPr="00C43806">
              <w:rPr>
                <w:sz w:val="28"/>
                <w:szCs w:val="28"/>
              </w:rPr>
              <w:t xml:space="preserve"> архитектур</w:t>
            </w:r>
            <w:r>
              <w:rPr>
                <w:sz w:val="28"/>
                <w:szCs w:val="28"/>
              </w:rPr>
              <w:t>е</w:t>
            </w:r>
            <w:r w:rsidRPr="00C43806">
              <w:rPr>
                <w:sz w:val="28"/>
                <w:szCs w:val="28"/>
              </w:rPr>
              <w:t xml:space="preserve"> и градостроительств</w:t>
            </w:r>
            <w:r>
              <w:rPr>
                <w:sz w:val="28"/>
                <w:szCs w:val="28"/>
              </w:rPr>
              <w:t>у</w:t>
            </w:r>
            <w:r w:rsidRPr="00C4380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051BE9" w:rsidRPr="00C43806" w:rsidTr="008D1C6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051BE9" w:rsidRPr="00C43806" w:rsidRDefault="00051BE9" w:rsidP="008D1C6B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-Шишков С.В. директор МУП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C43806">
              <w:rPr>
                <w:sz w:val="28"/>
                <w:szCs w:val="28"/>
              </w:rPr>
              <w:t>Водоканалсервис</w:t>
            </w:r>
            <w:proofErr w:type="spellEnd"/>
            <w:r w:rsidRPr="00C43806">
              <w:rPr>
                <w:sz w:val="28"/>
                <w:szCs w:val="28"/>
              </w:rPr>
              <w:t>» (по согласованию)</w:t>
            </w:r>
          </w:p>
        </w:tc>
      </w:tr>
    </w:tbl>
    <w:p w:rsidR="00051BE9" w:rsidRPr="003A1D92" w:rsidRDefault="00051BE9" w:rsidP="00051BE9">
      <w:pPr>
        <w:jc w:val="both"/>
        <w:rPr>
          <w:sz w:val="28"/>
          <w:szCs w:val="28"/>
        </w:rPr>
      </w:pPr>
      <w:r w:rsidRPr="003A1D92">
        <w:rPr>
          <w:sz w:val="28"/>
          <w:szCs w:val="28"/>
        </w:rPr>
        <w:t xml:space="preserve">Отсутствовали: </w:t>
      </w:r>
      <w:proofErr w:type="spellStart"/>
      <w:r>
        <w:rPr>
          <w:sz w:val="28"/>
          <w:szCs w:val="28"/>
        </w:rPr>
        <w:t>Пиганова</w:t>
      </w:r>
      <w:proofErr w:type="spellEnd"/>
      <w:r>
        <w:rPr>
          <w:sz w:val="28"/>
          <w:szCs w:val="28"/>
        </w:rPr>
        <w:t xml:space="preserve"> В.Д</w:t>
      </w:r>
      <w:r w:rsidRPr="003A1D92">
        <w:rPr>
          <w:sz w:val="28"/>
          <w:szCs w:val="28"/>
        </w:rPr>
        <w:t>.</w:t>
      </w:r>
      <w:r>
        <w:rPr>
          <w:sz w:val="28"/>
          <w:szCs w:val="28"/>
        </w:rPr>
        <w:t>, Тихонов С.Н., Акимов А.В.</w:t>
      </w:r>
    </w:p>
    <w:p w:rsidR="00051BE9" w:rsidRPr="003A1D92" w:rsidRDefault="00051BE9" w:rsidP="00051BE9">
      <w:pPr>
        <w:jc w:val="both"/>
        <w:rPr>
          <w:sz w:val="28"/>
          <w:szCs w:val="28"/>
        </w:rPr>
      </w:pPr>
      <w:r w:rsidRPr="003A1D92">
        <w:rPr>
          <w:sz w:val="28"/>
          <w:szCs w:val="28"/>
        </w:rPr>
        <w:t xml:space="preserve">На заседании Комиссии присутствует </w:t>
      </w:r>
      <w:r>
        <w:rPr>
          <w:sz w:val="28"/>
          <w:szCs w:val="28"/>
        </w:rPr>
        <w:t xml:space="preserve">восемь </w:t>
      </w:r>
      <w:r w:rsidRPr="003A1D92">
        <w:rPr>
          <w:sz w:val="28"/>
          <w:szCs w:val="28"/>
        </w:rPr>
        <w:t xml:space="preserve">членов из </w:t>
      </w:r>
      <w:r>
        <w:rPr>
          <w:sz w:val="28"/>
          <w:szCs w:val="28"/>
        </w:rPr>
        <w:t>одиннадцати</w:t>
      </w:r>
      <w:r w:rsidRPr="003A1D92">
        <w:rPr>
          <w:sz w:val="28"/>
          <w:szCs w:val="28"/>
        </w:rPr>
        <w:t xml:space="preserve">. Комиссии </w:t>
      </w:r>
      <w:proofErr w:type="gramStart"/>
      <w:r w:rsidRPr="003A1D92">
        <w:rPr>
          <w:sz w:val="28"/>
          <w:szCs w:val="28"/>
        </w:rPr>
        <w:t>правомочн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решать вопросы</w:t>
      </w:r>
      <w:r w:rsidRPr="003A1D92">
        <w:rPr>
          <w:sz w:val="28"/>
          <w:szCs w:val="28"/>
        </w:rPr>
        <w:t>.</w:t>
      </w:r>
    </w:p>
    <w:p w:rsidR="00051BE9" w:rsidRPr="005A0133" w:rsidRDefault="00051BE9" w:rsidP="00051BE9">
      <w:pPr>
        <w:rPr>
          <w:b/>
          <w:sz w:val="28"/>
          <w:szCs w:val="28"/>
          <w:u w:val="single"/>
        </w:rPr>
      </w:pPr>
      <w:r w:rsidRPr="005A0133">
        <w:rPr>
          <w:b/>
          <w:sz w:val="28"/>
          <w:szCs w:val="28"/>
          <w:u w:val="single"/>
        </w:rPr>
        <w:t>Повестка дня:</w:t>
      </w:r>
    </w:p>
    <w:p w:rsidR="00051BE9" w:rsidRDefault="00051BE9" w:rsidP="00051BE9">
      <w:pPr>
        <w:pStyle w:val="a4"/>
        <w:ind w:left="0" w:firstLine="426"/>
        <w:jc w:val="both"/>
        <w:rPr>
          <w:sz w:val="28"/>
          <w:szCs w:val="28"/>
        </w:rPr>
      </w:pPr>
      <w:r w:rsidRPr="00CB3B0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направлении </w:t>
      </w:r>
      <w:r w:rsidRPr="00CB3B0D">
        <w:rPr>
          <w:sz w:val="28"/>
          <w:szCs w:val="28"/>
        </w:rPr>
        <w:t xml:space="preserve"> проекта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</w:t>
      </w:r>
      <w:r w:rsidRPr="00CB3B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5B671E">
        <w:rPr>
          <w:sz w:val="28"/>
          <w:szCs w:val="28"/>
        </w:rPr>
        <w:t xml:space="preserve">и заключения о его проверке от 27.10.2016 г. </w:t>
      </w:r>
      <w:r>
        <w:rPr>
          <w:sz w:val="28"/>
          <w:szCs w:val="28"/>
        </w:rPr>
        <w:t>Главе муниципального района</w:t>
      </w:r>
      <w:r w:rsidRPr="00CB3B0D">
        <w:rPr>
          <w:sz w:val="28"/>
          <w:szCs w:val="28"/>
        </w:rPr>
        <w:t>.</w:t>
      </w:r>
    </w:p>
    <w:p w:rsidR="00051BE9" w:rsidRPr="005A0133" w:rsidRDefault="00051BE9" w:rsidP="00051BE9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утверждена единогласно.</w:t>
      </w:r>
    </w:p>
    <w:p w:rsidR="00051BE9" w:rsidRPr="00CB3B0D" w:rsidRDefault="00051BE9" w:rsidP="00051BE9">
      <w:pPr>
        <w:pStyle w:val="a4"/>
        <w:ind w:left="0" w:firstLine="426"/>
        <w:jc w:val="both"/>
        <w:rPr>
          <w:sz w:val="28"/>
          <w:szCs w:val="28"/>
        </w:rPr>
      </w:pPr>
    </w:p>
    <w:p w:rsidR="00051BE9" w:rsidRDefault="00051BE9" w:rsidP="00051BE9">
      <w:pPr>
        <w:jc w:val="both"/>
        <w:rPr>
          <w:sz w:val="28"/>
          <w:szCs w:val="28"/>
        </w:rPr>
      </w:pPr>
      <w:r w:rsidRPr="005A0133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направлении проекта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B671E" w:rsidRPr="005B671E">
        <w:rPr>
          <w:sz w:val="28"/>
          <w:szCs w:val="28"/>
        </w:rPr>
        <w:t xml:space="preserve"> </w:t>
      </w:r>
      <w:r w:rsidR="005B671E">
        <w:rPr>
          <w:sz w:val="28"/>
          <w:szCs w:val="28"/>
        </w:rPr>
        <w:t>и заключения о его проверке от 27.10.2016 г.</w:t>
      </w:r>
      <w:r>
        <w:rPr>
          <w:sz w:val="28"/>
          <w:szCs w:val="28"/>
        </w:rPr>
        <w:t xml:space="preserve"> Главе муниципального района.</w:t>
      </w:r>
    </w:p>
    <w:p w:rsidR="00051BE9" w:rsidRDefault="00051BE9" w:rsidP="00051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Николаева И.Н. доложила: в комиссию поступило Заключение о проверке проекта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51BE9">
        <w:rPr>
          <w:b/>
          <w:sz w:val="28"/>
          <w:szCs w:val="28"/>
        </w:rPr>
        <w:t xml:space="preserve"> </w:t>
      </w:r>
      <w:r w:rsidRPr="00051BE9">
        <w:rPr>
          <w:sz w:val="28"/>
          <w:szCs w:val="28"/>
        </w:rPr>
        <w:t>на соответствие требованиям части 9 статьи 31</w:t>
      </w:r>
      <w:r w:rsidRPr="00051BE9">
        <w:rPr>
          <w:color w:val="000000"/>
          <w:sz w:val="28"/>
          <w:szCs w:val="28"/>
        </w:rPr>
        <w:t xml:space="preserve"> Градостроительного кодекса Российской Федерации</w:t>
      </w:r>
      <w:r>
        <w:rPr>
          <w:color w:val="000000"/>
          <w:sz w:val="28"/>
          <w:szCs w:val="28"/>
        </w:rPr>
        <w:t xml:space="preserve">, выполненное главным специалистом по архитектуре и градостроительству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О.Д.Хомой</w:t>
      </w:r>
      <w:proofErr w:type="spellEnd"/>
      <w:r>
        <w:rPr>
          <w:sz w:val="28"/>
          <w:szCs w:val="28"/>
        </w:rPr>
        <w:t xml:space="preserve">. </w:t>
      </w:r>
    </w:p>
    <w:p w:rsidR="00051BE9" w:rsidRDefault="00051BE9" w:rsidP="00051B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части 9 статьи 31 </w:t>
      </w:r>
      <w:r>
        <w:rPr>
          <w:color w:val="000000"/>
          <w:sz w:val="28"/>
          <w:szCs w:val="28"/>
        </w:rPr>
        <w:t xml:space="preserve">Градостроительного кодекса </w:t>
      </w:r>
      <w:r w:rsidRPr="007431AE">
        <w:rPr>
          <w:color w:val="000000"/>
          <w:sz w:val="28"/>
          <w:szCs w:val="28"/>
        </w:rPr>
        <w:t xml:space="preserve">Российской Федерации </w:t>
      </w:r>
      <w:r>
        <w:rPr>
          <w:color w:val="000000"/>
          <w:sz w:val="28"/>
          <w:szCs w:val="28"/>
        </w:rPr>
        <w:t xml:space="preserve">представленный проект был проверен </w:t>
      </w:r>
      <w:r w:rsidRPr="007431AE">
        <w:rPr>
          <w:color w:val="000000"/>
          <w:sz w:val="28"/>
          <w:szCs w:val="28"/>
        </w:rPr>
        <w:t>на соответствие требованиям технических регламентов</w:t>
      </w:r>
      <w:r>
        <w:rPr>
          <w:color w:val="000000"/>
          <w:sz w:val="28"/>
          <w:szCs w:val="28"/>
        </w:rPr>
        <w:t xml:space="preserve">, генеральному плану </w:t>
      </w:r>
      <w:proofErr w:type="spellStart"/>
      <w:r>
        <w:rPr>
          <w:color w:val="000000"/>
          <w:sz w:val="28"/>
          <w:szCs w:val="28"/>
        </w:rPr>
        <w:t>Поддорского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7431AE">
        <w:rPr>
          <w:color w:val="000000"/>
          <w:sz w:val="28"/>
          <w:szCs w:val="28"/>
        </w:rPr>
        <w:t>, схем</w:t>
      </w:r>
      <w:r>
        <w:rPr>
          <w:color w:val="000000"/>
          <w:sz w:val="28"/>
          <w:szCs w:val="28"/>
        </w:rPr>
        <w:t>е</w:t>
      </w:r>
      <w:r w:rsidRPr="007431AE">
        <w:rPr>
          <w:color w:val="000000"/>
          <w:sz w:val="28"/>
          <w:szCs w:val="28"/>
        </w:rPr>
        <w:t xml:space="preserve"> территориального планирования </w:t>
      </w:r>
      <w:proofErr w:type="spellStart"/>
      <w:r>
        <w:rPr>
          <w:color w:val="000000"/>
          <w:sz w:val="28"/>
          <w:szCs w:val="28"/>
        </w:rPr>
        <w:t>Поддорского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7431AE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Pr="007431A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431AE">
        <w:rPr>
          <w:color w:val="000000"/>
          <w:sz w:val="28"/>
          <w:szCs w:val="28"/>
        </w:rPr>
        <w:t>, схем</w:t>
      </w:r>
      <w:r>
        <w:rPr>
          <w:color w:val="000000"/>
          <w:sz w:val="28"/>
          <w:szCs w:val="28"/>
        </w:rPr>
        <w:t>е</w:t>
      </w:r>
      <w:r w:rsidRPr="007431AE">
        <w:rPr>
          <w:color w:val="000000"/>
          <w:sz w:val="28"/>
          <w:szCs w:val="28"/>
        </w:rPr>
        <w:t xml:space="preserve"> территориального планирования </w:t>
      </w:r>
      <w:r>
        <w:rPr>
          <w:color w:val="000000"/>
          <w:sz w:val="28"/>
          <w:szCs w:val="28"/>
        </w:rPr>
        <w:t>Новгородской области</w:t>
      </w:r>
      <w:r w:rsidRPr="007431AE">
        <w:rPr>
          <w:color w:val="000000"/>
          <w:sz w:val="28"/>
          <w:szCs w:val="28"/>
        </w:rPr>
        <w:t>, схемам территориального пл</w:t>
      </w:r>
      <w:r>
        <w:rPr>
          <w:color w:val="000000"/>
          <w:sz w:val="28"/>
          <w:szCs w:val="28"/>
        </w:rPr>
        <w:t xml:space="preserve">анирования Российской Федерации. </w:t>
      </w:r>
    </w:p>
    <w:p w:rsidR="00051BE9" w:rsidRDefault="00051BE9" w:rsidP="00051BE9">
      <w:pPr>
        <w:ind w:firstLine="708"/>
        <w:jc w:val="both"/>
        <w:rPr>
          <w:color w:val="000000"/>
          <w:sz w:val="28"/>
          <w:szCs w:val="28"/>
        </w:rPr>
      </w:pPr>
      <w:r w:rsidRPr="005A0A7A">
        <w:rPr>
          <w:color w:val="000000"/>
          <w:sz w:val="28"/>
          <w:szCs w:val="28"/>
        </w:rPr>
        <w:t xml:space="preserve">Соблюдение требований технических регламентов рассматривалось путем оценки соответствия требованиям СП 42.13330.2011 «Градостроительство. Планировка и застройка городских и сельских поселений (Актуализированная редакция </w:t>
      </w:r>
      <w:proofErr w:type="spellStart"/>
      <w:r w:rsidRPr="005A0A7A">
        <w:rPr>
          <w:color w:val="000000"/>
          <w:sz w:val="28"/>
          <w:szCs w:val="28"/>
        </w:rPr>
        <w:t>СНиП</w:t>
      </w:r>
      <w:proofErr w:type="spellEnd"/>
      <w:r w:rsidRPr="005A0A7A">
        <w:rPr>
          <w:color w:val="000000"/>
          <w:sz w:val="28"/>
          <w:szCs w:val="28"/>
        </w:rPr>
        <w:t xml:space="preserve"> 2.07.01-89*)», который входит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 В результате проверки нарушений не выявлено.</w:t>
      </w:r>
    </w:p>
    <w:p w:rsidR="00051BE9" w:rsidRPr="00051BE9" w:rsidRDefault="00051BE9" w:rsidP="00051B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проверки не было выявлено нарушений </w:t>
      </w:r>
      <w:r w:rsidRPr="006612EA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й</w:t>
      </w:r>
      <w:r w:rsidRPr="006612EA">
        <w:rPr>
          <w:color w:val="000000"/>
          <w:sz w:val="28"/>
          <w:szCs w:val="28"/>
        </w:rPr>
        <w:t xml:space="preserve"> действующего законодательства Российской Федерации</w:t>
      </w:r>
      <w:r>
        <w:rPr>
          <w:color w:val="000000"/>
          <w:sz w:val="28"/>
          <w:szCs w:val="28"/>
        </w:rPr>
        <w:t>.</w:t>
      </w:r>
    </w:p>
    <w:p w:rsidR="00051BE9" w:rsidRDefault="00051BE9" w:rsidP="00051BE9">
      <w:pPr>
        <w:jc w:val="both"/>
        <w:rPr>
          <w:sz w:val="28"/>
          <w:szCs w:val="28"/>
        </w:rPr>
      </w:pPr>
      <w:r w:rsidRPr="002B5792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ешили</w:t>
      </w:r>
      <w:r w:rsidRPr="002B579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5B671E">
        <w:rPr>
          <w:sz w:val="28"/>
          <w:szCs w:val="28"/>
        </w:rPr>
        <w:t>В соответствии с частью 10 статьи 31 Градостроительного кодекса Российской Федерации н</w:t>
      </w:r>
      <w:r>
        <w:rPr>
          <w:sz w:val="28"/>
          <w:szCs w:val="28"/>
        </w:rPr>
        <w:t xml:space="preserve">аправить проект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B671E" w:rsidRPr="005B671E">
        <w:rPr>
          <w:sz w:val="28"/>
          <w:szCs w:val="28"/>
        </w:rPr>
        <w:t xml:space="preserve"> </w:t>
      </w:r>
      <w:r w:rsidR="005B671E">
        <w:rPr>
          <w:sz w:val="28"/>
          <w:szCs w:val="28"/>
        </w:rPr>
        <w:t>и заключение о его проверке от 27.10.2016 г.</w:t>
      </w:r>
      <w:r>
        <w:rPr>
          <w:sz w:val="28"/>
          <w:szCs w:val="28"/>
        </w:rPr>
        <w:t xml:space="preserve"> Главе муниципального района.</w:t>
      </w:r>
    </w:p>
    <w:p w:rsidR="00051BE9" w:rsidRPr="00333FFB" w:rsidRDefault="00051BE9" w:rsidP="00051BE9">
      <w:pPr>
        <w:pStyle w:val="a5"/>
        <w:rPr>
          <w:szCs w:val="28"/>
        </w:rPr>
      </w:pPr>
      <w:r w:rsidRPr="00333FFB">
        <w:rPr>
          <w:b/>
          <w:szCs w:val="28"/>
          <w:u w:val="single"/>
        </w:rPr>
        <w:t>Г</w:t>
      </w:r>
      <w:r>
        <w:rPr>
          <w:b/>
          <w:szCs w:val="28"/>
          <w:u w:val="single"/>
        </w:rPr>
        <w:t>олосовали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«</w:t>
      </w:r>
      <w:r>
        <w:rPr>
          <w:szCs w:val="28"/>
        </w:rPr>
        <w:t>за</w:t>
      </w:r>
      <w:r w:rsidRPr="00333FFB">
        <w:rPr>
          <w:szCs w:val="28"/>
        </w:rPr>
        <w:t>» - единогласно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против</w:t>
      </w:r>
      <w:r w:rsidRPr="00333FFB">
        <w:rPr>
          <w:szCs w:val="28"/>
        </w:rPr>
        <w:t>» - 0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воздержались</w:t>
      </w:r>
      <w:r w:rsidRPr="00333FFB">
        <w:rPr>
          <w:szCs w:val="28"/>
        </w:rPr>
        <w:t>» - 0.</w:t>
      </w:r>
    </w:p>
    <w:p w:rsidR="00051BE9" w:rsidRPr="00333FFB" w:rsidRDefault="00051BE9" w:rsidP="00051BE9">
      <w:pPr>
        <w:pStyle w:val="a5"/>
        <w:rPr>
          <w:szCs w:val="28"/>
        </w:rPr>
      </w:pPr>
      <w:r>
        <w:rPr>
          <w:b/>
          <w:szCs w:val="28"/>
          <w:u w:val="single"/>
        </w:rPr>
        <w:t>Особое мнение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Особых мнений нет</w:t>
      </w:r>
    </w:p>
    <w:p w:rsidR="00051BE9" w:rsidRDefault="00051BE9" w:rsidP="00051BE9">
      <w:pPr>
        <w:jc w:val="both"/>
        <w:rPr>
          <w:sz w:val="28"/>
          <w:szCs w:val="28"/>
        </w:rPr>
      </w:pPr>
    </w:p>
    <w:p w:rsidR="00051BE9" w:rsidRDefault="00051BE9" w:rsidP="00051BE9">
      <w:pPr>
        <w:rPr>
          <w:sz w:val="32"/>
          <w:szCs w:val="32"/>
        </w:rPr>
      </w:pPr>
      <w:bookmarkStart w:id="0" w:name="_GoBack"/>
      <w:bookmarkEnd w:id="0"/>
    </w:p>
    <w:p w:rsidR="00051BE9" w:rsidRPr="005A0133" w:rsidRDefault="00051BE9" w:rsidP="00051BE9">
      <w:pPr>
        <w:rPr>
          <w:b/>
          <w:sz w:val="28"/>
          <w:szCs w:val="28"/>
        </w:rPr>
      </w:pPr>
      <w:r w:rsidRPr="005A0133">
        <w:rPr>
          <w:b/>
          <w:sz w:val="28"/>
          <w:szCs w:val="28"/>
        </w:rPr>
        <w:t xml:space="preserve">Председатель  Комиссии:                                       </w:t>
      </w:r>
      <w:r>
        <w:rPr>
          <w:b/>
          <w:sz w:val="28"/>
          <w:szCs w:val="28"/>
        </w:rPr>
        <w:t xml:space="preserve">          </w:t>
      </w:r>
      <w:r w:rsidRPr="005A0133">
        <w:rPr>
          <w:b/>
          <w:sz w:val="28"/>
          <w:szCs w:val="28"/>
        </w:rPr>
        <w:t xml:space="preserve"> А.Ю.Антонов</w:t>
      </w:r>
    </w:p>
    <w:p w:rsidR="00051BE9" w:rsidRPr="005A0133" w:rsidRDefault="00051BE9" w:rsidP="00051BE9">
      <w:pPr>
        <w:rPr>
          <w:b/>
          <w:sz w:val="28"/>
          <w:szCs w:val="28"/>
        </w:rPr>
      </w:pPr>
      <w:r w:rsidRPr="005A0133">
        <w:rPr>
          <w:b/>
          <w:sz w:val="28"/>
          <w:szCs w:val="28"/>
        </w:rPr>
        <w:t xml:space="preserve">Секретарь Комиссии:                                              </w:t>
      </w:r>
      <w:r>
        <w:rPr>
          <w:b/>
          <w:sz w:val="28"/>
          <w:szCs w:val="28"/>
        </w:rPr>
        <w:t xml:space="preserve">          </w:t>
      </w:r>
      <w:r w:rsidRPr="005A0133">
        <w:rPr>
          <w:b/>
          <w:sz w:val="28"/>
          <w:szCs w:val="28"/>
        </w:rPr>
        <w:t xml:space="preserve"> И.Н.Николаева   </w:t>
      </w:r>
    </w:p>
    <w:p w:rsidR="00051BE9" w:rsidRDefault="00051BE9" w:rsidP="00051BE9"/>
    <w:p w:rsidR="00BE4A2C" w:rsidRDefault="00BE4A2C"/>
    <w:sectPr w:rsidR="00BE4A2C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BE9"/>
    <w:rsid w:val="00051BE9"/>
    <w:rsid w:val="00274322"/>
    <w:rsid w:val="002D1AD0"/>
    <w:rsid w:val="00313189"/>
    <w:rsid w:val="00453993"/>
    <w:rsid w:val="005B671E"/>
    <w:rsid w:val="005E0622"/>
    <w:rsid w:val="005F0C47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E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BE9"/>
    <w:pPr>
      <w:ind w:left="720"/>
      <w:contextualSpacing/>
    </w:pPr>
  </w:style>
  <w:style w:type="paragraph" w:customStyle="1" w:styleId="ConsPlusNormal">
    <w:name w:val="ConsPlusNormal"/>
    <w:rsid w:val="00051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051BE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051BE9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3</cp:revision>
  <cp:lastPrinted>2016-12-19T06:34:00Z</cp:lastPrinted>
  <dcterms:created xsi:type="dcterms:W3CDTF">2016-12-19T06:17:00Z</dcterms:created>
  <dcterms:modified xsi:type="dcterms:W3CDTF">2016-12-29T09:29:00Z</dcterms:modified>
</cp:coreProperties>
</file>