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7D" w:rsidRDefault="00FF117D" w:rsidP="00786238">
      <w:pPr>
        <w:rPr>
          <w:b/>
          <w:bCs/>
          <w:sz w:val="28"/>
          <w:szCs w:val="28"/>
        </w:rPr>
      </w:pPr>
    </w:p>
    <w:p w:rsidR="00FF117D" w:rsidRDefault="00FF117D" w:rsidP="00786238">
      <w:pPr>
        <w:rPr>
          <w:b/>
          <w:bCs/>
          <w:sz w:val="28"/>
          <w:szCs w:val="28"/>
        </w:rPr>
      </w:pPr>
    </w:p>
    <w:p w:rsidR="00786238" w:rsidRPr="00F33801" w:rsidRDefault="00786238" w:rsidP="00786238">
      <w:pPr>
        <w:rPr>
          <w:b/>
          <w:bCs/>
          <w:sz w:val="28"/>
          <w:szCs w:val="28"/>
        </w:rPr>
      </w:pPr>
      <w:r w:rsidRPr="00F33801">
        <w:rPr>
          <w:b/>
          <w:bCs/>
          <w:sz w:val="28"/>
          <w:szCs w:val="28"/>
        </w:rPr>
        <w:t xml:space="preserve">Контрольно-счетная  Палата   </w:t>
      </w:r>
      <w:proofErr w:type="spellStart"/>
      <w:r w:rsidRPr="00F33801">
        <w:rPr>
          <w:b/>
          <w:bCs/>
          <w:sz w:val="28"/>
          <w:szCs w:val="28"/>
        </w:rPr>
        <w:t>Поддорского</w:t>
      </w:r>
      <w:proofErr w:type="spellEnd"/>
      <w:r w:rsidRPr="00F33801">
        <w:rPr>
          <w:b/>
          <w:bCs/>
          <w:sz w:val="28"/>
          <w:szCs w:val="28"/>
        </w:rPr>
        <w:t xml:space="preserve"> муниципального района</w:t>
      </w:r>
    </w:p>
    <w:p w:rsidR="00786238" w:rsidRPr="007031D0" w:rsidRDefault="00786238" w:rsidP="00786238">
      <w:pPr>
        <w:rPr>
          <w:sz w:val="20"/>
        </w:rPr>
      </w:pPr>
      <w:r>
        <w:rPr>
          <w:sz w:val="20"/>
        </w:rPr>
        <w:t xml:space="preserve">175260 Новгородская область, </w:t>
      </w:r>
      <w:proofErr w:type="spellStart"/>
      <w:r>
        <w:rPr>
          <w:sz w:val="20"/>
        </w:rPr>
        <w:t>Поддорского</w:t>
      </w:r>
      <w:proofErr w:type="spellEnd"/>
      <w:r>
        <w:rPr>
          <w:sz w:val="20"/>
        </w:rPr>
        <w:t xml:space="preserve"> района, село Поддорье, улица Октябрьская, дом 26 </w:t>
      </w:r>
      <w:r w:rsidRPr="007031D0">
        <w:rPr>
          <w:sz w:val="20"/>
        </w:rPr>
        <w:t xml:space="preserve">тел. </w:t>
      </w:r>
      <w:r>
        <w:rPr>
          <w:sz w:val="20"/>
        </w:rPr>
        <w:t>8 816 58 71</w:t>
      </w:r>
      <w:r w:rsidRPr="007031D0">
        <w:rPr>
          <w:sz w:val="20"/>
        </w:rPr>
        <w:t>-4</w:t>
      </w:r>
      <w:r>
        <w:rPr>
          <w:sz w:val="20"/>
        </w:rPr>
        <w:t>18</w:t>
      </w:r>
      <w:r w:rsidRPr="007031D0">
        <w:rPr>
          <w:sz w:val="20"/>
        </w:rPr>
        <w:t>, т/факс</w:t>
      </w:r>
      <w:r>
        <w:t>71</w:t>
      </w:r>
      <w:r w:rsidRPr="007031D0">
        <w:rPr>
          <w:sz w:val="20"/>
        </w:rPr>
        <w:t>-</w:t>
      </w:r>
      <w:r>
        <w:rPr>
          <w:sz w:val="20"/>
        </w:rPr>
        <w:t>418</w:t>
      </w:r>
    </w:p>
    <w:p w:rsidR="00786238" w:rsidRPr="007C664B" w:rsidRDefault="00786238" w:rsidP="00786238">
      <w:pPr>
        <w:shd w:val="clear" w:color="auto" w:fill="FFFFFF"/>
        <w:tabs>
          <w:tab w:val="left" w:pos="5914"/>
        </w:tabs>
        <w:rPr>
          <w:b/>
          <w:sz w:val="28"/>
          <w:szCs w:val="28"/>
          <w:lang w:val="en-US"/>
        </w:rPr>
      </w:pPr>
      <w:r w:rsidRPr="00FE71F5">
        <w:rPr>
          <w:b/>
          <w:sz w:val="18"/>
          <w:szCs w:val="18"/>
          <w:u w:val="single"/>
          <w:lang w:val="en-US"/>
        </w:rPr>
        <w:t>E- mail: ksp.pod2012@yandex.ru_</w:t>
      </w:r>
      <w:r w:rsidRPr="007C664B">
        <w:rPr>
          <w:b/>
          <w:sz w:val="18"/>
          <w:szCs w:val="18"/>
          <w:u w:val="single"/>
          <w:lang w:val="en-US"/>
        </w:rPr>
        <w:t>_________________________________________________________________</w:t>
      </w:r>
      <w:r w:rsidRPr="00FE71F5">
        <w:rPr>
          <w:b/>
          <w:sz w:val="18"/>
          <w:szCs w:val="18"/>
          <w:u w:val="single"/>
          <w:lang w:val="en-US"/>
        </w:rPr>
        <w:t>_</w:t>
      </w:r>
    </w:p>
    <w:p w:rsidR="00D267EF" w:rsidRPr="0018130F" w:rsidRDefault="00D267EF" w:rsidP="00FE3F84">
      <w:pPr>
        <w:ind w:left="7080" w:right="-309"/>
        <w:rPr>
          <w:lang w:val="en-US"/>
        </w:rPr>
      </w:pPr>
    </w:p>
    <w:tbl>
      <w:tblPr>
        <w:tblW w:w="5000" w:type="pct"/>
        <w:tblLook w:val="0000"/>
      </w:tblPr>
      <w:tblGrid>
        <w:gridCol w:w="4399"/>
        <w:gridCol w:w="5173"/>
      </w:tblGrid>
      <w:tr w:rsidR="0091601B" w:rsidRPr="007031D0" w:rsidTr="0091601B">
        <w:tc>
          <w:tcPr>
            <w:tcW w:w="2298" w:type="pct"/>
          </w:tcPr>
          <w:p w:rsidR="0091601B" w:rsidRPr="00E04F83" w:rsidRDefault="0091601B" w:rsidP="0091601B">
            <w:pPr>
              <w:rPr>
                <w:lang w:val="en-US"/>
              </w:rPr>
            </w:pPr>
          </w:p>
          <w:p w:rsidR="0091601B" w:rsidRPr="007031D0" w:rsidRDefault="0091601B" w:rsidP="0091601B">
            <w:pPr>
              <w:rPr>
                <w:b/>
                <w:szCs w:val="28"/>
              </w:rPr>
            </w:pPr>
            <w:r w:rsidRPr="00727AC4">
              <w:rPr>
                <w:sz w:val="22"/>
              </w:rPr>
              <w:t>от</w:t>
            </w:r>
            <w:r w:rsidRPr="00727AC4">
              <w:rPr>
                <w:sz w:val="22"/>
                <w:lang w:val="en-US"/>
              </w:rPr>
              <w:t xml:space="preserve">  </w:t>
            </w:r>
            <w:r w:rsidRPr="00727AC4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  <w:r w:rsidRPr="00727AC4">
              <w:rPr>
                <w:sz w:val="22"/>
                <w:lang w:val="en-US"/>
              </w:rPr>
              <w:t>.</w:t>
            </w:r>
            <w:r w:rsidRPr="00727AC4">
              <w:rPr>
                <w:sz w:val="22"/>
              </w:rPr>
              <w:t>04</w:t>
            </w:r>
            <w:r w:rsidRPr="00727AC4">
              <w:rPr>
                <w:sz w:val="22"/>
                <w:lang w:val="en-US"/>
              </w:rPr>
              <w:t>.201</w:t>
            </w:r>
            <w:r>
              <w:rPr>
                <w:sz w:val="22"/>
              </w:rPr>
              <w:t>6</w:t>
            </w:r>
            <w:r w:rsidRPr="00F4525F">
              <w:rPr>
                <w:sz w:val="22"/>
                <w:lang w:val="en-US"/>
              </w:rPr>
              <w:t xml:space="preserve">       </w:t>
            </w:r>
          </w:p>
        </w:tc>
        <w:tc>
          <w:tcPr>
            <w:tcW w:w="2702" w:type="pct"/>
          </w:tcPr>
          <w:p w:rsidR="0091601B" w:rsidRDefault="0091601B" w:rsidP="0091601B">
            <w:pPr>
              <w:jc w:val="center"/>
              <w:rPr>
                <w:b/>
              </w:rPr>
            </w:pPr>
            <w:r w:rsidRPr="00FE71F5">
              <w:rPr>
                <w:b/>
              </w:rPr>
              <w:t xml:space="preserve"> </w:t>
            </w:r>
            <w:r>
              <w:rPr>
                <w:b/>
              </w:rPr>
              <w:t>Председателю Думы</w:t>
            </w:r>
          </w:p>
          <w:p w:rsidR="0091601B" w:rsidRDefault="0091601B" w:rsidP="009160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Поддорского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  <w:p w:rsidR="0091601B" w:rsidRDefault="0091601B" w:rsidP="009160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Яблонскене</w:t>
            </w:r>
            <w:proofErr w:type="spellEnd"/>
            <w:r>
              <w:rPr>
                <w:b/>
              </w:rPr>
              <w:t xml:space="preserve"> Н.И.</w:t>
            </w:r>
          </w:p>
          <w:p w:rsidR="0091601B" w:rsidRDefault="0091601B" w:rsidP="0091601B">
            <w:pPr>
              <w:jc w:val="center"/>
              <w:rPr>
                <w:b/>
              </w:rPr>
            </w:pPr>
            <w:r w:rsidRPr="00FE71F5">
              <w:rPr>
                <w:b/>
              </w:rPr>
              <w:t xml:space="preserve"> </w:t>
            </w:r>
            <w:r>
              <w:rPr>
                <w:b/>
              </w:rPr>
              <w:t xml:space="preserve">Главе </w:t>
            </w:r>
            <w:proofErr w:type="spellStart"/>
            <w:r>
              <w:rPr>
                <w:b/>
              </w:rPr>
              <w:t>Поддорского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муниципального</w:t>
            </w:r>
            <w:proofErr w:type="gramEnd"/>
          </w:p>
          <w:p w:rsidR="0091601B" w:rsidRPr="007031D0" w:rsidRDefault="0091601B" w:rsidP="0091601B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района </w:t>
            </w:r>
            <w:proofErr w:type="spellStart"/>
            <w:r>
              <w:rPr>
                <w:b/>
              </w:rPr>
              <w:t>Буленкову</w:t>
            </w:r>
            <w:proofErr w:type="spellEnd"/>
            <w:r>
              <w:rPr>
                <w:b/>
              </w:rPr>
              <w:t xml:space="preserve"> А.Н.</w:t>
            </w:r>
          </w:p>
        </w:tc>
      </w:tr>
    </w:tbl>
    <w:p w:rsidR="0091601B" w:rsidRPr="0091601B" w:rsidRDefault="0091601B" w:rsidP="00FE3F84">
      <w:pPr>
        <w:ind w:left="7080" w:right="-309"/>
      </w:pPr>
    </w:p>
    <w:p w:rsidR="00FE3F84" w:rsidRPr="0091601B" w:rsidRDefault="00FE3F84" w:rsidP="00FE3F84">
      <w:pPr>
        <w:pStyle w:val="1"/>
        <w:ind w:right="-309" w:firstLine="0"/>
        <w:jc w:val="center"/>
        <w:rPr>
          <w:b/>
          <w:sz w:val="28"/>
        </w:rPr>
      </w:pPr>
      <w:r w:rsidRPr="00E564BE">
        <w:rPr>
          <w:b/>
          <w:sz w:val="28"/>
        </w:rPr>
        <w:t>Заключение</w:t>
      </w:r>
      <w:r w:rsidR="0091601B" w:rsidRPr="0018130F">
        <w:rPr>
          <w:b/>
          <w:sz w:val="28"/>
        </w:rPr>
        <w:t xml:space="preserve"> </w:t>
      </w:r>
      <w:r w:rsidR="0091601B">
        <w:rPr>
          <w:b/>
          <w:sz w:val="28"/>
        </w:rPr>
        <w:t>№ 18</w:t>
      </w:r>
    </w:p>
    <w:p w:rsidR="00FE3F84" w:rsidRPr="0091601B" w:rsidRDefault="00786238" w:rsidP="00FE3F84">
      <w:pPr>
        <w:pStyle w:val="2"/>
        <w:ind w:right="-309" w:firstLine="0"/>
        <w:rPr>
          <w:szCs w:val="26"/>
        </w:rPr>
      </w:pPr>
      <w:r w:rsidRPr="0091601B">
        <w:rPr>
          <w:szCs w:val="26"/>
        </w:rPr>
        <w:t xml:space="preserve">на отчет об исполнении </w:t>
      </w:r>
      <w:r w:rsidR="00FE3F84" w:rsidRPr="0091601B">
        <w:rPr>
          <w:szCs w:val="26"/>
        </w:rPr>
        <w:t xml:space="preserve"> бюджета</w:t>
      </w:r>
      <w:r w:rsidRPr="0091601B">
        <w:rPr>
          <w:szCs w:val="26"/>
        </w:rPr>
        <w:t xml:space="preserve"> муниципального района</w:t>
      </w:r>
      <w:r w:rsidR="00FE3F84" w:rsidRPr="0091601B">
        <w:rPr>
          <w:szCs w:val="26"/>
        </w:rPr>
        <w:t xml:space="preserve"> за 201</w:t>
      </w:r>
      <w:r w:rsidRPr="0091601B">
        <w:rPr>
          <w:szCs w:val="26"/>
        </w:rPr>
        <w:t>5</w:t>
      </w:r>
      <w:r w:rsidR="00FE3F84" w:rsidRPr="0091601B">
        <w:rPr>
          <w:szCs w:val="26"/>
        </w:rPr>
        <w:t xml:space="preserve"> год</w:t>
      </w:r>
    </w:p>
    <w:p w:rsidR="0091601B" w:rsidRPr="0091601B" w:rsidRDefault="0091601B" w:rsidP="00FE3F84">
      <w:pPr>
        <w:pStyle w:val="2"/>
        <w:ind w:right="-309" w:firstLine="0"/>
        <w:rPr>
          <w:szCs w:val="26"/>
        </w:rPr>
      </w:pPr>
    </w:p>
    <w:p w:rsidR="00786238" w:rsidRPr="00D267EF" w:rsidRDefault="00B20CF2" w:rsidP="00786238">
      <w:pPr>
        <w:ind w:firstLine="832"/>
        <w:jc w:val="both"/>
      </w:pPr>
      <w:r>
        <w:t>З</w:t>
      </w:r>
      <w:r w:rsidR="00786238" w:rsidRPr="00D267EF">
        <w:t xml:space="preserve">аключение на отчет об исполнении бюджета </w:t>
      </w:r>
      <w:proofErr w:type="spellStart"/>
      <w:r w:rsidR="00786238" w:rsidRPr="00D267EF">
        <w:t>Поддорского</w:t>
      </w:r>
      <w:proofErr w:type="spellEnd"/>
      <w:r w:rsidR="00786238" w:rsidRPr="00D267EF">
        <w:t xml:space="preserve"> муниципального района за 2015 год  подготовлено в соответствии с Бюджетным кодексом Российской Федерации, Положением о Контрольно-счетной Палате </w:t>
      </w:r>
      <w:proofErr w:type="spellStart"/>
      <w:r w:rsidR="00786238" w:rsidRPr="00D267EF">
        <w:t>Поддорского</w:t>
      </w:r>
      <w:proofErr w:type="spellEnd"/>
      <w:r w:rsidR="00786238" w:rsidRPr="00D267EF">
        <w:t xml:space="preserve"> муниципального </w:t>
      </w:r>
      <w:proofErr w:type="gramStart"/>
      <w:r w:rsidR="00786238" w:rsidRPr="00D267EF">
        <w:t xml:space="preserve">района, утвержденным решением Думы </w:t>
      </w:r>
      <w:proofErr w:type="spellStart"/>
      <w:r w:rsidR="00786238" w:rsidRPr="00D267EF">
        <w:t>Поддорского</w:t>
      </w:r>
      <w:proofErr w:type="spellEnd"/>
      <w:r w:rsidR="00786238" w:rsidRPr="00D267EF">
        <w:t xml:space="preserve"> муниципального района от 02.12.2011г. № 469, Положением о бюджетном процессе в </w:t>
      </w:r>
      <w:proofErr w:type="spellStart"/>
      <w:r w:rsidR="00786238" w:rsidRPr="00D267EF">
        <w:t>Поддорском</w:t>
      </w:r>
      <w:proofErr w:type="spellEnd"/>
      <w:r w:rsidR="00786238" w:rsidRPr="00D267EF">
        <w:t xml:space="preserve"> муниципальном районе, утвержденным решением Думы </w:t>
      </w:r>
      <w:proofErr w:type="spellStart"/>
      <w:r w:rsidR="00786238" w:rsidRPr="00D267EF">
        <w:t>Поддорского</w:t>
      </w:r>
      <w:proofErr w:type="spellEnd"/>
      <w:r w:rsidR="00786238" w:rsidRPr="00D267EF">
        <w:t xml:space="preserve"> муниципального района от 26.12.2011г. № 472 с учетом последующих дополнений и изменений,  на основании данных годового отчета об исполнении  бюджета </w:t>
      </w:r>
      <w:proofErr w:type="spellStart"/>
      <w:r w:rsidR="00786238" w:rsidRPr="00D267EF">
        <w:t>Поддорского</w:t>
      </w:r>
      <w:proofErr w:type="spellEnd"/>
      <w:r w:rsidR="00786238" w:rsidRPr="00D267EF">
        <w:t xml:space="preserve"> муниципального района и результатов внешней проверки бюджетной отчетности главных распорядителей бюджетных средств и  главных администраторов доходов</w:t>
      </w:r>
      <w:proofErr w:type="gramEnd"/>
      <w:r w:rsidR="00786238" w:rsidRPr="00D267EF">
        <w:t xml:space="preserve"> бюджета.</w:t>
      </w:r>
    </w:p>
    <w:p w:rsidR="00786238" w:rsidRPr="00D267EF" w:rsidRDefault="00786238" w:rsidP="00786238">
      <w:pPr>
        <w:jc w:val="both"/>
      </w:pPr>
      <w:r w:rsidRPr="00D267EF">
        <w:t xml:space="preserve">         При подготовке заключения использованы данные статистической и бюджетной отчетности, результаты проведенных контрольных мероприятий за отчетный период, иные материалы, представленные по запросу Контрольно-счетной палаты </w:t>
      </w:r>
      <w:proofErr w:type="spellStart"/>
      <w:r w:rsidRPr="00D267EF">
        <w:t>Поддорского</w:t>
      </w:r>
      <w:proofErr w:type="spellEnd"/>
      <w:r w:rsidRPr="00D267EF">
        <w:t xml:space="preserve"> муниципального района (далее – Контрольно-счетная палата), а также проекта решения Думы </w:t>
      </w:r>
      <w:proofErr w:type="spellStart"/>
      <w:r w:rsidRPr="00D267EF">
        <w:t>Поддорского</w:t>
      </w:r>
      <w:proofErr w:type="spellEnd"/>
      <w:r w:rsidRPr="00D267EF">
        <w:t xml:space="preserve"> муниципального района «Об утверждении отчета об исполнении бюджета </w:t>
      </w:r>
      <w:proofErr w:type="spellStart"/>
      <w:r w:rsidRPr="00D267EF">
        <w:t>Поддорского</w:t>
      </w:r>
      <w:proofErr w:type="spellEnd"/>
      <w:r w:rsidRPr="00D267EF">
        <w:t xml:space="preserve"> муниципального района за 2015 год.</w:t>
      </w:r>
    </w:p>
    <w:p w:rsidR="00FE3F84" w:rsidRDefault="00FE3F84" w:rsidP="00FE3F84">
      <w:pPr>
        <w:pStyle w:val="2"/>
        <w:ind w:right="-309" w:firstLine="720"/>
        <w:jc w:val="both"/>
        <w:rPr>
          <w:b w:val="0"/>
          <w:sz w:val="28"/>
          <w:szCs w:val="28"/>
        </w:rPr>
      </w:pPr>
    </w:p>
    <w:p w:rsidR="00FE3F84" w:rsidRDefault="00FE3F84" w:rsidP="00FE3F84">
      <w:pPr>
        <w:pStyle w:val="1"/>
        <w:ind w:right="-3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E3F84" w:rsidRPr="00DF64FC" w:rsidRDefault="00FE3F84" w:rsidP="00FE3F84">
      <w:pPr>
        <w:ind w:right="-309" w:firstLine="720"/>
        <w:jc w:val="both"/>
        <w:rPr>
          <w:bCs/>
        </w:rPr>
      </w:pPr>
      <w:proofErr w:type="gramStart"/>
      <w:r w:rsidRPr="00DF64FC">
        <w:rPr>
          <w:bCs/>
        </w:rPr>
        <w:t>Отчет об исполнении областного бюджета за 201</w:t>
      </w:r>
      <w:r w:rsidR="00DF64FC" w:rsidRPr="00DF64FC">
        <w:rPr>
          <w:bCs/>
        </w:rPr>
        <w:t>5</w:t>
      </w:r>
      <w:r w:rsidRPr="00DF64FC">
        <w:rPr>
          <w:bCs/>
        </w:rPr>
        <w:t xml:space="preserve"> год (далее – годовой отчет) и проект </w:t>
      </w:r>
      <w:r w:rsidR="00DF64FC" w:rsidRPr="00DF64FC">
        <w:rPr>
          <w:bCs/>
        </w:rPr>
        <w:t xml:space="preserve">решения Думы </w:t>
      </w:r>
      <w:proofErr w:type="spellStart"/>
      <w:r w:rsidR="00DF64FC" w:rsidRPr="00DF64FC">
        <w:rPr>
          <w:bCs/>
        </w:rPr>
        <w:t>Поддорского</w:t>
      </w:r>
      <w:proofErr w:type="spellEnd"/>
      <w:r w:rsidR="00DF64FC" w:rsidRPr="00DF64FC">
        <w:rPr>
          <w:bCs/>
        </w:rPr>
        <w:t xml:space="preserve"> муниципального района</w:t>
      </w:r>
      <w:r w:rsidRPr="00DF64FC">
        <w:rPr>
          <w:bCs/>
        </w:rPr>
        <w:t xml:space="preserve"> «Об исполнении  бюджета</w:t>
      </w:r>
      <w:r w:rsidR="00DF64FC" w:rsidRPr="00DF64FC">
        <w:rPr>
          <w:bCs/>
        </w:rPr>
        <w:t xml:space="preserve"> муниципального район за 2015</w:t>
      </w:r>
      <w:r w:rsidRPr="00DF64FC">
        <w:rPr>
          <w:bCs/>
        </w:rPr>
        <w:t xml:space="preserve"> год» (далее - проект закона), иные документы, подлежащие представлению одновременно с годовым отчетом,</w:t>
      </w:r>
      <w:r w:rsidRPr="00DF64FC">
        <w:t xml:space="preserve"> </w:t>
      </w:r>
      <w:r w:rsidR="00DF64FC" w:rsidRPr="00DF64FC">
        <w:t xml:space="preserve">направлены Комитетом финансов Администрации </w:t>
      </w:r>
      <w:proofErr w:type="spellStart"/>
      <w:r w:rsidR="00DF64FC" w:rsidRPr="00DF64FC">
        <w:t>Поддорского</w:t>
      </w:r>
      <w:proofErr w:type="spellEnd"/>
      <w:r w:rsidR="00DF64FC" w:rsidRPr="00DF64FC">
        <w:t xml:space="preserve"> муниципального района</w:t>
      </w:r>
      <w:r w:rsidRPr="00DF64FC">
        <w:rPr>
          <w:bCs/>
        </w:rPr>
        <w:t xml:space="preserve"> в </w:t>
      </w:r>
      <w:r w:rsidR="00DF64FC" w:rsidRPr="00DF64FC">
        <w:rPr>
          <w:bCs/>
        </w:rPr>
        <w:t xml:space="preserve"> Контрольно-с</w:t>
      </w:r>
      <w:r w:rsidRPr="00DF64FC">
        <w:rPr>
          <w:bCs/>
        </w:rPr>
        <w:t xml:space="preserve">четную </w:t>
      </w:r>
      <w:r w:rsidR="00DF64FC" w:rsidRPr="00DF64FC">
        <w:rPr>
          <w:bCs/>
        </w:rPr>
        <w:t>П</w:t>
      </w:r>
      <w:r w:rsidRPr="00DF64FC">
        <w:rPr>
          <w:bCs/>
        </w:rPr>
        <w:t xml:space="preserve">алату </w:t>
      </w:r>
      <w:proofErr w:type="spellStart"/>
      <w:r w:rsidR="00DF64FC" w:rsidRPr="00DF64FC">
        <w:rPr>
          <w:bCs/>
        </w:rPr>
        <w:t>Поддорского</w:t>
      </w:r>
      <w:proofErr w:type="spellEnd"/>
      <w:r w:rsidR="00DF64FC" w:rsidRPr="00DF64FC">
        <w:rPr>
          <w:bCs/>
        </w:rPr>
        <w:t xml:space="preserve"> муниципального района</w:t>
      </w:r>
      <w:r w:rsidRPr="00DF64FC">
        <w:rPr>
          <w:bCs/>
        </w:rPr>
        <w:t xml:space="preserve"> своевременно и </w:t>
      </w:r>
      <w:r w:rsidRPr="00DF64FC">
        <w:t>отвечают требованиям бюджетного законодательства Российской Федерации</w:t>
      </w:r>
      <w:proofErr w:type="gramEnd"/>
    </w:p>
    <w:p w:rsidR="00FE3F84" w:rsidRPr="00DF64FC" w:rsidRDefault="00FE3F84" w:rsidP="00FE3F84">
      <w:pPr>
        <w:pStyle w:val="2"/>
        <w:ind w:right="-309" w:firstLine="720"/>
        <w:jc w:val="both"/>
        <w:rPr>
          <w:b w:val="0"/>
          <w:sz w:val="24"/>
          <w:szCs w:val="24"/>
        </w:rPr>
      </w:pPr>
      <w:r w:rsidRPr="00DF64FC">
        <w:rPr>
          <w:b w:val="0"/>
          <w:sz w:val="24"/>
          <w:szCs w:val="24"/>
        </w:rPr>
        <w:t xml:space="preserve">Настоящее заключение подготовлено на основании представленных документов и материалов, а также результатов проведенных </w:t>
      </w:r>
      <w:r w:rsidR="00DF64FC" w:rsidRPr="00DF64FC">
        <w:rPr>
          <w:b w:val="0"/>
          <w:sz w:val="24"/>
          <w:szCs w:val="24"/>
        </w:rPr>
        <w:t>Контрольно-с</w:t>
      </w:r>
      <w:r w:rsidRPr="00DF64FC">
        <w:rPr>
          <w:b w:val="0"/>
          <w:sz w:val="24"/>
          <w:szCs w:val="24"/>
        </w:rPr>
        <w:t xml:space="preserve">четной </w:t>
      </w:r>
      <w:r w:rsidR="00DF64FC" w:rsidRPr="00DF64FC">
        <w:rPr>
          <w:b w:val="0"/>
          <w:sz w:val="24"/>
          <w:szCs w:val="24"/>
        </w:rPr>
        <w:t>П</w:t>
      </w:r>
      <w:r w:rsidRPr="00DF64FC">
        <w:rPr>
          <w:b w:val="0"/>
          <w:sz w:val="24"/>
          <w:szCs w:val="24"/>
        </w:rPr>
        <w:t xml:space="preserve">алатой внешних </w:t>
      </w:r>
      <w:proofErr w:type="gramStart"/>
      <w:r w:rsidRPr="00DF64FC">
        <w:rPr>
          <w:b w:val="0"/>
          <w:sz w:val="24"/>
          <w:szCs w:val="24"/>
        </w:rPr>
        <w:t>проверок годовой бюджетной отчетности гл</w:t>
      </w:r>
      <w:r w:rsidR="00DF64FC" w:rsidRPr="00DF64FC">
        <w:rPr>
          <w:b w:val="0"/>
          <w:sz w:val="24"/>
          <w:szCs w:val="24"/>
        </w:rPr>
        <w:t>авных администраторов средств б</w:t>
      </w:r>
      <w:r w:rsidRPr="00DF64FC">
        <w:rPr>
          <w:b w:val="0"/>
          <w:sz w:val="24"/>
          <w:szCs w:val="24"/>
        </w:rPr>
        <w:t>юджета</w:t>
      </w:r>
      <w:r w:rsidR="00DF64FC" w:rsidRPr="00DF64FC">
        <w:rPr>
          <w:b w:val="0"/>
          <w:sz w:val="24"/>
          <w:szCs w:val="24"/>
        </w:rPr>
        <w:t xml:space="preserve"> муниципального района</w:t>
      </w:r>
      <w:proofErr w:type="gramEnd"/>
      <w:r w:rsidRPr="00DF64FC">
        <w:rPr>
          <w:b w:val="0"/>
          <w:sz w:val="24"/>
          <w:szCs w:val="24"/>
        </w:rPr>
        <w:t xml:space="preserve"> и иных материалов.</w:t>
      </w:r>
    </w:p>
    <w:p w:rsidR="00FE3F84" w:rsidRPr="00DF64FC" w:rsidRDefault="00FE3F84" w:rsidP="00FE3F84">
      <w:pPr>
        <w:ind w:right="-309"/>
        <w:jc w:val="center"/>
        <w:rPr>
          <w:b/>
        </w:rPr>
      </w:pPr>
    </w:p>
    <w:p w:rsidR="00FE3F84" w:rsidRPr="002E4A43" w:rsidRDefault="00FE3F84" w:rsidP="00FE3F84">
      <w:pPr>
        <w:ind w:right="-309"/>
        <w:jc w:val="center"/>
        <w:rPr>
          <w:b/>
          <w:sz w:val="28"/>
        </w:rPr>
      </w:pPr>
      <w:r w:rsidRPr="00F41333">
        <w:rPr>
          <w:b/>
          <w:sz w:val="28"/>
          <w:szCs w:val="28"/>
        </w:rPr>
        <w:t>Основные показатели исполнения  бюджета</w:t>
      </w:r>
      <w:r w:rsidR="00DF64FC">
        <w:rPr>
          <w:b/>
          <w:sz w:val="28"/>
          <w:szCs w:val="28"/>
        </w:rPr>
        <w:t xml:space="preserve"> муниципального района</w:t>
      </w:r>
    </w:p>
    <w:p w:rsidR="00FE3F84" w:rsidRDefault="00FE3F84" w:rsidP="00B20CF2">
      <w:pPr>
        <w:pStyle w:val="a6"/>
        <w:spacing w:after="0"/>
        <w:ind w:left="0" w:right="-309" w:firstLine="720"/>
        <w:jc w:val="both"/>
      </w:pPr>
      <w:r w:rsidRPr="00DF64FC">
        <w:t xml:space="preserve">Основными характеристиками  бюджета </w:t>
      </w:r>
      <w:r w:rsidR="00DF64FC" w:rsidRPr="00DF64FC">
        <w:t xml:space="preserve">муниципального района </w:t>
      </w:r>
      <w:r w:rsidRPr="00DF64FC">
        <w:t>являются общий объем доходов  бюджета</w:t>
      </w:r>
      <w:r w:rsidR="00DF64FC" w:rsidRPr="00DF64FC">
        <w:t xml:space="preserve"> муниципального района, общий объем расходов </w:t>
      </w:r>
      <w:r w:rsidRPr="00DF64FC">
        <w:t>бюджета</w:t>
      </w:r>
      <w:r w:rsidR="00DF64FC" w:rsidRPr="00DF64FC">
        <w:t xml:space="preserve"> муниципального района</w:t>
      </w:r>
      <w:r w:rsidRPr="00DF64FC">
        <w:t>, дефицит (</w:t>
      </w:r>
      <w:proofErr w:type="spellStart"/>
      <w:r w:rsidRPr="00DF64FC">
        <w:t>профицит</w:t>
      </w:r>
      <w:proofErr w:type="spellEnd"/>
      <w:r w:rsidRPr="00DF64FC">
        <w:t>)  бюджета</w:t>
      </w:r>
      <w:r w:rsidR="00DF64FC" w:rsidRPr="00DF64FC">
        <w:t xml:space="preserve"> муниципального района</w:t>
      </w:r>
      <w:r w:rsidRPr="00DF64FC">
        <w:t>. Выполнение данных показателей в отчетном периоде представлено в таблице 1.</w:t>
      </w:r>
    </w:p>
    <w:p w:rsidR="00FE3F84" w:rsidRPr="002C4000" w:rsidRDefault="00FE3F84" w:rsidP="00FE3F84">
      <w:pPr>
        <w:pStyle w:val="a6"/>
        <w:spacing w:after="0"/>
        <w:ind w:left="0" w:right="-309"/>
        <w:jc w:val="both"/>
        <w:rPr>
          <w:sz w:val="28"/>
          <w:szCs w:val="28"/>
        </w:rPr>
      </w:pPr>
      <w:r w:rsidRPr="00DF64FC">
        <w:rPr>
          <w:sz w:val="22"/>
          <w:szCs w:val="22"/>
        </w:rPr>
        <w:lastRenderedPageBreak/>
        <w:t xml:space="preserve">                                                                                          </w:t>
      </w:r>
      <w:r w:rsidR="00DF64FC" w:rsidRPr="00DF64FC">
        <w:rPr>
          <w:sz w:val="22"/>
          <w:szCs w:val="22"/>
        </w:rPr>
        <w:t xml:space="preserve">   </w:t>
      </w:r>
      <w:r w:rsidRPr="00493280">
        <w:t xml:space="preserve">рублей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2127"/>
        <w:gridCol w:w="1842"/>
        <w:gridCol w:w="1843"/>
      </w:tblGrid>
      <w:tr w:rsidR="00FE3F84" w:rsidTr="00786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4" w:rsidRDefault="00FE3F84" w:rsidP="00786238">
            <w:pPr>
              <w:ind w:right="-309"/>
              <w:jc w:val="center"/>
            </w:pPr>
            <w:r>
              <w:t>Наименование</w:t>
            </w:r>
          </w:p>
          <w:p w:rsidR="00FE3F84" w:rsidRDefault="00FE3F84" w:rsidP="00786238">
            <w:pPr>
              <w:jc w:val="center"/>
            </w:pPr>
            <w:r>
              <w:t>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4" w:rsidRPr="00B20CF2" w:rsidRDefault="00FE3F84" w:rsidP="00786238">
            <w:pPr>
              <w:ind w:left="-108" w:right="-14"/>
              <w:jc w:val="center"/>
              <w:rPr>
                <w:sz w:val="18"/>
                <w:szCs w:val="18"/>
              </w:rPr>
            </w:pPr>
            <w:r w:rsidRPr="00B20CF2">
              <w:rPr>
                <w:sz w:val="18"/>
                <w:szCs w:val="18"/>
              </w:rPr>
              <w:t xml:space="preserve">Утверждено законом </w:t>
            </w:r>
          </w:p>
          <w:p w:rsidR="00FE3F84" w:rsidRPr="00B20CF2" w:rsidRDefault="00FE3F84" w:rsidP="00786238">
            <w:pPr>
              <w:ind w:left="-108" w:right="-14"/>
              <w:jc w:val="center"/>
              <w:rPr>
                <w:sz w:val="18"/>
                <w:szCs w:val="18"/>
              </w:rPr>
            </w:pPr>
            <w:r w:rsidRPr="00B20CF2">
              <w:rPr>
                <w:sz w:val="18"/>
                <w:szCs w:val="18"/>
              </w:rPr>
              <w:t>о бюджете (первоначально)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4" w:rsidRPr="00B20CF2" w:rsidRDefault="00FE3F84" w:rsidP="0078623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20CF2">
              <w:rPr>
                <w:sz w:val="18"/>
                <w:szCs w:val="18"/>
              </w:rPr>
              <w:t xml:space="preserve">Утверждено законом </w:t>
            </w:r>
          </w:p>
          <w:p w:rsidR="00FE3F84" w:rsidRPr="00B20CF2" w:rsidRDefault="00FE3F84" w:rsidP="0078623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20CF2">
              <w:rPr>
                <w:sz w:val="18"/>
                <w:szCs w:val="18"/>
              </w:rPr>
              <w:t>о бюджете</w:t>
            </w:r>
          </w:p>
          <w:p w:rsidR="00FE3F84" w:rsidRPr="00B20CF2" w:rsidRDefault="00FE3F84" w:rsidP="00786238">
            <w:pPr>
              <w:ind w:right="-108"/>
              <w:rPr>
                <w:sz w:val="18"/>
                <w:szCs w:val="18"/>
              </w:rPr>
            </w:pPr>
            <w:r w:rsidRPr="00B20CF2">
              <w:rPr>
                <w:sz w:val="18"/>
                <w:szCs w:val="18"/>
              </w:rPr>
              <w:t>(с изменениями)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4" w:rsidRPr="00B20CF2" w:rsidRDefault="00FE3F84" w:rsidP="00786238">
            <w:pPr>
              <w:ind w:left="-108" w:right="-309"/>
              <w:jc w:val="center"/>
              <w:rPr>
                <w:sz w:val="18"/>
                <w:szCs w:val="18"/>
              </w:rPr>
            </w:pPr>
            <w:r w:rsidRPr="00B20CF2">
              <w:rPr>
                <w:sz w:val="18"/>
                <w:szCs w:val="18"/>
              </w:rPr>
              <w:t>Утверждено  сводной бюджетной росписью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4" w:rsidRPr="00B20CF2" w:rsidRDefault="00FE3F84" w:rsidP="00786238">
            <w:pPr>
              <w:pStyle w:val="a4"/>
              <w:ind w:left="-108" w:right="-309"/>
              <w:jc w:val="center"/>
              <w:rPr>
                <w:sz w:val="18"/>
                <w:szCs w:val="18"/>
              </w:rPr>
            </w:pPr>
            <w:r w:rsidRPr="00B20CF2">
              <w:rPr>
                <w:sz w:val="18"/>
                <w:szCs w:val="18"/>
              </w:rPr>
              <w:t>Исполнение</w:t>
            </w:r>
          </w:p>
        </w:tc>
      </w:tr>
      <w:tr w:rsidR="00BC4CD4" w:rsidTr="00786238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D4" w:rsidRDefault="00BC4CD4" w:rsidP="00786238">
            <w:pPr>
              <w:ind w:right="-309"/>
            </w:pPr>
            <w: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D4" w:rsidRPr="00BC4CD4" w:rsidRDefault="00BC4CD4" w:rsidP="00786238">
            <w:pPr>
              <w:ind w:right="-309"/>
              <w:jc w:val="center"/>
              <w:rPr>
                <w:sz w:val="20"/>
                <w:szCs w:val="20"/>
              </w:rPr>
            </w:pPr>
            <w:r w:rsidRPr="00BC4CD4">
              <w:rPr>
                <w:sz w:val="20"/>
                <w:szCs w:val="20"/>
              </w:rPr>
              <w:t>142 978 800,00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D4" w:rsidRPr="00BC4CD4" w:rsidRDefault="00BC4CD4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BC4CD4">
              <w:rPr>
                <w:sz w:val="20"/>
                <w:szCs w:val="20"/>
              </w:rPr>
              <w:t>146 646 079,34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D4" w:rsidRPr="00BC4CD4" w:rsidRDefault="00BC4CD4" w:rsidP="00FD76FF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BC4CD4">
              <w:rPr>
                <w:sz w:val="20"/>
                <w:szCs w:val="20"/>
              </w:rPr>
              <w:t>146 646 079,34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D4" w:rsidRPr="00BC4CD4" w:rsidRDefault="00BC4CD4" w:rsidP="00786238">
            <w:pPr>
              <w:ind w:right="-3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142 335 872,08</w:t>
            </w:r>
          </w:p>
        </w:tc>
      </w:tr>
      <w:tr w:rsidR="00BC4CD4" w:rsidTr="00786238">
        <w:trPr>
          <w:trHeight w:val="2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D4" w:rsidRDefault="00BC4CD4" w:rsidP="00786238">
            <w:pPr>
              <w:ind w:right="-309"/>
            </w:pPr>
            <w:r>
              <w:t>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D4" w:rsidRPr="00BC4CD4" w:rsidRDefault="00BC4CD4" w:rsidP="00786238">
            <w:pPr>
              <w:ind w:right="-309"/>
              <w:jc w:val="center"/>
              <w:rPr>
                <w:sz w:val="20"/>
                <w:szCs w:val="20"/>
              </w:rPr>
            </w:pPr>
            <w:r w:rsidRPr="00BC4CD4">
              <w:rPr>
                <w:sz w:val="20"/>
                <w:szCs w:val="20"/>
              </w:rPr>
              <w:t>144 378 800,00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D4" w:rsidRPr="00BC4CD4" w:rsidRDefault="00BC4CD4" w:rsidP="00786238">
            <w:pPr>
              <w:ind w:right="-309"/>
              <w:jc w:val="center"/>
              <w:rPr>
                <w:sz w:val="20"/>
                <w:szCs w:val="20"/>
              </w:rPr>
            </w:pPr>
            <w:r w:rsidRPr="00BC4CD4">
              <w:rPr>
                <w:spacing w:val="-2"/>
                <w:sz w:val="20"/>
                <w:szCs w:val="20"/>
              </w:rPr>
              <w:t>151 514 145,00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D4" w:rsidRPr="00BC4CD4" w:rsidRDefault="00BC4CD4" w:rsidP="00FD76FF">
            <w:pPr>
              <w:ind w:right="-309"/>
              <w:jc w:val="center"/>
              <w:rPr>
                <w:sz w:val="20"/>
                <w:szCs w:val="20"/>
              </w:rPr>
            </w:pPr>
            <w:r w:rsidRPr="00BC4CD4">
              <w:rPr>
                <w:spacing w:val="-2"/>
                <w:sz w:val="20"/>
                <w:szCs w:val="20"/>
              </w:rPr>
              <w:t>151 514 145,00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D4" w:rsidRPr="00BC4CD4" w:rsidRDefault="00BC4CD4" w:rsidP="00786238">
            <w:pPr>
              <w:ind w:right="-309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143 129 042,59</w:t>
            </w:r>
          </w:p>
        </w:tc>
      </w:tr>
      <w:tr w:rsidR="00BC4CD4" w:rsidTr="00786238">
        <w:trPr>
          <w:trHeight w:val="1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D4" w:rsidRDefault="00BC4CD4" w:rsidP="00786238">
            <w:pPr>
              <w:ind w:right="-309"/>
            </w:pPr>
            <w:r>
              <w:t>Дефицит</w:t>
            </w:r>
            <w:proofErr w:type="gramStart"/>
            <w:r>
              <w:t xml:space="preserve"> (-), </w:t>
            </w:r>
            <w:proofErr w:type="spellStart"/>
            <w:proofErr w:type="gramEnd"/>
            <w:r>
              <w:t>профицит</w:t>
            </w:r>
            <w:proofErr w:type="spellEnd"/>
            <w:r>
              <w:t xml:space="preserve">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D4" w:rsidRPr="00BC4CD4" w:rsidRDefault="00BC4CD4" w:rsidP="00DF64FC">
            <w:pPr>
              <w:ind w:right="-309"/>
              <w:jc w:val="center"/>
              <w:rPr>
                <w:sz w:val="20"/>
                <w:szCs w:val="20"/>
              </w:rPr>
            </w:pPr>
            <w:r w:rsidRPr="00BC4CD4">
              <w:rPr>
                <w:sz w:val="20"/>
                <w:szCs w:val="20"/>
              </w:rPr>
              <w:t xml:space="preserve">   -1 400 000,00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D4" w:rsidRPr="00BC4CD4" w:rsidRDefault="00BC4CD4" w:rsidP="00786238">
            <w:pPr>
              <w:ind w:right="-309"/>
              <w:jc w:val="center"/>
              <w:rPr>
                <w:sz w:val="20"/>
                <w:szCs w:val="20"/>
              </w:rPr>
            </w:pPr>
            <w:r w:rsidRPr="00BC4CD4">
              <w:rPr>
                <w:sz w:val="20"/>
                <w:szCs w:val="20"/>
              </w:rPr>
              <w:t>- 4 868 065,66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D4" w:rsidRPr="00BC4CD4" w:rsidRDefault="00BC4CD4" w:rsidP="00FD76FF">
            <w:pPr>
              <w:ind w:right="-309"/>
              <w:jc w:val="center"/>
              <w:rPr>
                <w:sz w:val="20"/>
                <w:szCs w:val="20"/>
              </w:rPr>
            </w:pPr>
            <w:r w:rsidRPr="00BC4CD4">
              <w:rPr>
                <w:sz w:val="20"/>
                <w:szCs w:val="20"/>
              </w:rPr>
              <w:t>- 4 868 065,66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D4" w:rsidRPr="00BC4CD4" w:rsidRDefault="0018130F" w:rsidP="00786238">
            <w:pPr>
              <w:ind w:right="-3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C4CD4">
              <w:rPr>
                <w:sz w:val="20"/>
                <w:szCs w:val="20"/>
              </w:rPr>
              <w:t>793 170,51</w:t>
            </w:r>
          </w:p>
        </w:tc>
      </w:tr>
    </w:tbl>
    <w:p w:rsidR="00FE3F84" w:rsidRDefault="00FE3F84" w:rsidP="00FE3F84">
      <w:pPr>
        <w:pStyle w:val="a6"/>
        <w:spacing w:after="0"/>
        <w:ind w:left="0" w:right="-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BC4CD4" w:rsidRDefault="00BC4CD4" w:rsidP="00BC4CD4">
      <w:pPr>
        <w:jc w:val="both"/>
      </w:pPr>
      <w:r>
        <w:t xml:space="preserve">            </w:t>
      </w:r>
      <w:proofErr w:type="gramStart"/>
      <w:r>
        <w:t>Р</w:t>
      </w:r>
      <w:r w:rsidRPr="005F60AD">
        <w:t xml:space="preserve">ешением Думы </w:t>
      </w:r>
      <w:proofErr w:type="spellStart"/>
      <w:r w:rsidRPr="005F60AD">
        <w:t>Поддорс</w:t>
      </w:r>
      <w:r>
        <w:t>кого</w:t>
      </w:r>
      <w:proofErr w:type="spellEnd"/>
      <w:r>
        <w:t xml:space="preserve"> муниципального района от 18</w:t>
      </w:r>
      <w:r w:rsidRPr="005F60AD">
        <w:t>.12.201</w:t>
      </w:r>
      <w:r>
        <w:t>4  № 677</w:t>
      </w:r>
      <w:r w:rsidRPr="005F60AD">
        <w:t xml:space="preserve">  « О бюджете  муниц</w:t>
      </w:r>
      <w:r>
        <w:t>ипального района на 2015</w:t>
      </w:r>
      <w:r w:rsidRPr="005F60AD">
        <w:t xml:space="preserve"> год и на плановый период 201</w:t>
      </w:r>
      <w:r>
        <w:t>6 и 2017</w:t>
      </w:r>
      <w:r w:rsidRPr="005F60AD">
        <w:t xml:space="preserve"> годов»</w:t>
      </w:r>
      <w:r w:rsidR="00D267EF">
        <w:t xml:space="preserve"> бюджет по доходам</w:t>
      </w:r>
      <w:r w:rsidRPr="005F60AD">
        <w:t xml:space="preserve">   принят в сумме 14</w:t>
      </w:r>
      <w:r>
        <w:t>2 978,8</w:t>
      </w:r>
      <w:r w:rsidRPr="005F60AD">
        <w:t xml:space="preserve"> тыс. рублей  и расходам в сумме 1</w:t>
      </w:r>
      <w:r>
        <w:t>44 378,8</w:t>
      </w:r>
      <w:r w:rsidRPr="005F60AD">
        <w:t xml:space="preserve"> тыс. рублей,  бюджет принят с дефицитом в размере </w:t>
      </w:r>
      <w:r>
        <w:t>1 400</w:t>
      </w:r>
      <w:r w:rsidRPr="005F60AD">
        <w:t>,0 тыс. рублей.</w:t>
      </w:r>
      <w:proofErr w:type="gramEnd"/>
    </w:p>
    <w:p w:rsidR="007F6806" w:rsidRPr="007F6806" w:rsidRDefault="007F6806" w:rsidP="007F6806">
      <w:pPr>
        <w:pStyle w:val="af9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F6806">
        <w:rPr>
          <w:rFonts w:ascii="Times New Roman" w:hAnsi="Times New Roman"/>
          <w:sz w:val="24"/>
          <w:szCs w:val="24"/>
        </w:rPr>
        <w:t xml:space="preserve">           Утверждение бюджета </w:t>
      </w:r>
      <w:proofErr w:type="spellStart"/>
      <w:r w:rsidRPr="007F6806">
        <w:rPr>
          <w:rFonts w:ascii="Times New Roman" w:hAnsi="Times New Roman"/>
          <w:sz w:val="24"/>
          <w:szCs w:val="24"/>
        </w:rPr>
        <w:t>Поддорского</w:t>
      </w:r>
      <w:proofErr w:type="spellEnd"/>
      <w:r w:rsidRPr="007F6806">
        <w:rPr>
          <w:rFonts w:ascii="Times New Roman" w:hAnsi="Times New Roman"/>
          <w:sz w:val="24"/>
          <w:szCs w:val="24"/>
        </w:rPr>
        <w:t xml:space="preserve"> муниципального района на 2015 год  и на плановый период 2016 и 2017 годов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 бюджета и состав показателей, содержащие в решении о бюджете соответствуют ст.184.1 Бюджетного Кодекса Российской Федерации. </w:t>
      </w:r>
    </w:p>
    <w:p w:rsidR="007F6806" w:rsidRDefault="00D267EF" w:rsidP="007F6806">
      <w:pPr>
        <w:jc w:val="both"/>
      </w:pPr>
      <w:r>
        <w:t xml:space="preserve">           </w:t>
      </w:r>
      <w:r w:rsidR="00FE3F84" w:rsidRPr="007F6806">
        <w:t>В ходе исполнения бюджета</w:t>
      </w:r>
      <w:r w:rsidR="00BC4CD4" w:rsidRPr="007F6806">
        <w:t xml:space="preserve"> муниципального района</w:t>
      </w:r>
      <w:r w:rsidR="00FE3F84" w:rsidRPr="007F6806">
        <w:t xml:space="preserve"> в </w:t>
      </w:r>
      <w:r w:rsidR="00BC4CD4" w:rsidRPr="007F6806">
        <w:t xml:space="preserve">решение </w:t>
      </w:r>
      <w:r w:rsidR="00FE3F84" w:rsidRPr="007F6806">
        <w:t>о бюджете изменения по корректировке основных характеристик  бюджета</w:t>
      </w:r>
      <w:r w:rsidR="00BC4CD4" w:rsidRPr="007F6806">
        <w:t xml:space="preserve"> муниципального района вносились одиннадцать раз</w:t>
      </w:r>
      <w:r w:rsidR="007F6806" w:rsidRPr="007F6806">
        <w:t>. В результате годовые назначения доходной части бюджета на конец года составил</w:t>
      </w:r>
      <w:r>
        <w:t>и в размере</w:t>
      </w:r>
      <w:r w:rsidR="007F6806" w:rsidRPr="007F6806">
        <w:t xml:space="preserve"> 146 646 079 </w:t>
      </w:r>
      <w:r w:rsidR="007F6806" w:rsidRPr="007F6806">
        <w:rPr>
          <w:spacing w:val="-2"/>
        </w:rPr>
        <w:t>рублей 34 копейки</w:t>
      </w:r>
      <w:r w:rsidR="007F6806" w:rsidRPr="007F6806">
        <w:t xml:space="preserve">  или увеличилась</w:t>
      </w:r>
      <w:r w:rsidR="007F6806" w:rsidRPr="005F60AD">
        <w:t xml:space="preserve"> относительно первоначально утвержденных на   </w:t>
      </w:r>
      <w:r w:rsidR="007F6806">
        <w:t>3 667 279</w:t>
      </w:r>
      <w:r w:rsidR="007F6806" w:rsidRPr="005F60AD">
        <w:t xml:space="preserve"> рубл</w:t>
      </w:r>
      <w:r w:rsidR="007F6806">
        <w:t>ей</w:t>
      </w:r>
      <w:r w:rsidR="007F6806" w:rsidRPr="005F60AD">
        <w:t xml:space="preserve"> </w:t>
      </w:r>
      <w:r w:rsidR="007F6806">
        <w:t>34</w:t>
      </w:r>
      <w:r w:rsidR="007F6806" w:rsidRPr="005F60AD">
        <w:t xml:space="preserve"> копейки  или на</w:t>
      </w:r>
      <w:r w:rsidR="007F6806">
        <w:t xml:space="preserve"> 2,56</w:t>
      </w:r>
      <w:r w:rsidR="007F6806" w:rsidRPr="005F60AD">
        <w:t xml:space="preserve">  процент</w:t>
      </w:r>
      <w:r w:rsidR="007F6806">
        <w:t>ов</w:t>
      </w:r>
      <w:r w:rsidR="007F6806" w:rsidRPr="005F60AD">
        <w:t xml:space="preserve">.     </w:t>
      </w:r>
    </w:p>
    <w:p w:rsidR="007F6806" w:rsidRPr="00D267EF" w:rsidRDefault="007F6806" w:rsidP="007F6806">
      <w:pPr>
        <w:jc w:val="both"/>
      </w:pPr>
      <w:r>
        <w:t xml:space="preserve">   </w:t>
      </w:r>
      <w:r w:rsidRPr="005F60AD">
        <w:t xml:space="preserve">    </w:t>
      </w:r>
      <w:r w:rsidR="00D267EF">
        <w:t xml:space="preserve">   </w:t>
      </w:r>
      <w:r w:rsidRPr="005F60AD">
        <w:t xml:space="preserve">Расходная часть бюджета составила </w:t>
      </w:r>
      <w:r>
        <w:rPr>
          <w:spacing w:val="-2"/>
        </w:rPr>
        <w:t>1</w:t>
      </w:r>
      <w:r w:rsidRPr="005F60AD">
        <w:rPr>
          <w:spacing w:val="-2"/>
        </w:rPr>
        <w:t>5</w:t>
      </w:r>
      <w:r>
        <w:rPr>
          <w:spacing w:val="-2"/>
        </w:rPr>
        <w:t>1</w:t>
      </w:r>
      <w:r w:rsidRPr="005F60AD">
        <w:rPr>
          <w:spacing w:val="-2"/>
        </w:rPr>
        <w:t> </w:t>
      </w:r>
      <w:r>
        <w:rPr>
          <w:spacing w:val="-2"/>
        </w:rPr>
        <w:t>514</w:t>
      </w:r>
      <w:r w:rsidRPr="005F60AD">
        <w:rPr>
          <w:spacing w:val="-2"/>
        </w:rPr>
        <w:t xml:space="preserve"> </w:t>
      </w:r>
      <w:r>
        <w:rPr>
          <w:spacing w:val="-2"/>
        </w:rPr>
        <w:t>145</w:t>
      </w:r>
      <w:r w:rsidRPr="005F60AD">
        <w:rPr>
          <w:spacing w:val="-2"/>
        </w:rPr>
        <w:t xml:space="preserve"> рублей </w:t>
      </w:r>
      <w:r w:rsidRPr="005F60AD">
        <w:t xml:space="preserve">или увеличилась на  </w:t>
      </w:r>
      <w:r>
        <w:t>7 135 345 рублей, что составляет 4,94 процента</w:t>
      </w:r>
      <w:r w:rsidRPr="005F60AD">
        <w:t xml:space="preserve"> от общей суммы  </w:t>
      </w:r>
      <w:r>
        <w:t xml:space="preserve">первоначальных расходов бюджета и с </w:t>
      </w:r>
      <w:r w:rsidRPr="00D267EF">
        <w:t>дефицитом  4 868 065 рублей 66 копеек или увеличен</w:t>
      </w:r>
      <w:r w:rsidR="00D267EF">
        <w:t>а</w:t>
      </w:r>
      <w:r w:rsidRPr="00D267EF">
        <w:t xml:space="preserve">  на 3 468 065 рублей 66 коп.</w:t>
      </w:r>
    </w:p>
    <w:p w:rsidR="00FE3F84" w:rsidRPr="00DA5668" w:rsidRDefault="00FE3F84" w:rsidP="00FE3F84">
      <w:pPr>
        <w:ind w:right="-309" w:firstLine="708"/>
        <w:jc w:val="both"/>
      </w:pPr>
      <w:r w:rsidRPr="007F6806">
        <w:t xml:space="preserve">В соответствии с Бюджетным кодексом Российской Федерации исполнение бюджета организуется на основе сводной бюджетной росписи исходя из показателей, утвержденных </w:t>
      </w:r>
      <w:r w:rsidR="00D267EF">
        <w:t xml:space="preserve">решением Думы </w:t>
      </w:r>
      <w:r w:rsidRPr="007F6806">
        <w:t xml:space="preserve">о </w:t>
      </w:r>
      <w:r w:rsidRPr="00D267EF">
        <w:t>бюджете. Утвержденные сводной бюджетной росписью показатели по доходам и расходам бюджета</w:t>
      </w:r>
      <w:r w:rsidR="007F6806" w:rsidRPr="00D267EF">
        <w:t xml:space="preserve"> муниципального района</w:t>
      </w:r>
      <w:r w:rsidRPr="00D267EF">
        <w:t xml:space="preserve"> (далее - уточненный план) </w:t>
      </w:r>
      <w:r w:rsidR="00D267EF" w:rsidRPr="00D267EF">
        <w:t>соответствуют показателям, предусмотренным</w:t>
      </w:r>
      <w:r w:rsidRPr="00D267EF">
        <w:t xml:space="preserve"> </w:t>
      </w:r>
      <w:r w:rsidR="00D267EF" w:rsidRPr="00D267EF">
        <w:t>решением</w:t>
      </w:r>
      <w:r w:rsidRPr="00D267EF">
        <w:t xml:space="preserve"> </w:t>
      </w:r>
      <w:r w:rsidR="00D267EF" w:rsidRPr="00D267EF">
        <w:t>Думы</w:t>
      </w:r>
      <w:r w:rsidR="00D267EF">
        <w:t xml:space="preserve"> о бюджете на 2015 год и на плановый период 2016 и 2017 годов</w:t>
      </w:r>
      <w:r w:rsidRPr="00D267EF">
        <w:t xml:space="preserve">. </w:t>
      </w:r>
    </w:p>
    <w:p w:rsidR="00D267EF" w:rsidRDefault="00FE3F84" w:rsidP="00FE3F84">
      <w:pPr>
        <w:autoSpaceDE w:val="0"/>
        <w:autoSpaceDN w:val="0"/>
        <w:adjustRightInd w:val="0"/>
        <w:ind w:right="-309" w:firstLine="708"/>
        <w:jc w:val="both"/>
      </w:pPr>
      <w:r w:rsidRPr="00DA5668">
        <w:t>Отч</w:t>
      </w:r>
      <w:r w:rsidR="007F6806" w:rsidRPr="00DA5668">
        <w:t>ет об исполнении бюджета за 2015</w:t>
      </w:r>
      <w:r w:rsidRPr="00DA5668">
        <w:t xml:space="preserve"> год согласно проекту </w:t>
      </w:r>
      <w:r w:rsidR="007F6806" w:rsidRPr="00DA5668">
        <w:t>решения Думы муниципального района</w:t>
      </w:r>
      <w:r w:rsidRPr="00DA5668">
        <w:t xml:space="preserve"> утверждается по доходам в сумме</w:t>
      </w:r>
      <w:r w:rsidR="007F6806" w:rsidRPr="00DA5668">
        <w:t xml:space="preserve"> 14</w:t>
      </w:r>
      <w:r w:rsidR="0018130F">
        <w:t>2 335 872</w:t>
      </w:r>
      <w:r w:rsidRPr="00DA5668">
        <w:t xml:space="preserve"> руб</w:t>
      </w:r>
      <w:r w:rsidR="0018130F">
        <w:t>.</w:t>
      </w:r>
      <w:r w:rsidR="007F6806" w:rsidRPr="00DA5668">
        <w:t xml:space="preserve"> </w:t>
      </w:r>
      <w:r w:rsidR="0018130F">
        <w:t>08</w:t>
      </w:r>
      <w:r w:rsidR="007F6806" w:rsidRPr="00DA5668">
        <w:t xml:space="preserve"> коп.</w:t>
      </w:r>
      <w:r w:rsidRPr="00DA5668">
        <w:t xml:space="preserve"> (</w:t>
      </w:r>
      <w:r w:rsidR="00DA5668" w:rsidRPr="00DA5668">
        <w:t>14</w:t>
      </w:r>
      <w:r w:rsidR="0018130F">
        <w:t>2</w:t>
      </w:r>
      <w:r w:rsidR="00DA5668" w:rsidRPr="00DA5668">
        <w:t> </w:t>
      </w:r>
      <w:r w:rsidR="0018130F">
        <w:t>335</w:t>
      </w:r>
      <w:r w:rsidR="00DA5668" w:rsidRPr="00DA5668">
        <w:t>,</w:t>
      </w:r>
      <w:r w:rsidR="0018130F">
        <w:t>9</w:t>
      </w:r>
      <w:r w:rsidR="00DA5668" w:rsidRPr="00DA5668">
        <w:t xml:space="preserve"> тыс</w:t>
      </w:r>
      <w:proofErr w:type="gramStart"/>
      <w:r w:rsidR="00DA5668" w:rsidRPr="00DA5668">
        <w:t>.р</w:t>
      </w:r>
      <w:proofErr w:type="gramEnd"/>
      <w:r w:rsidR="00DA5668" w:rsidRPr="00DA5668">
        <w:t xml:space="preserve">ублей), что составляет </w:t>
      </w:r>
      <w:r w:rsidRPr="00DA5668">
        <w:t>9</w:t>
      </w:r>
      <w:r w:rsidR="00DA5668" w:rsidRPr="00DA5668">
        <w:t>7,1 процент</w:t>
      </w:r>
      <w:r w:rsidRPr="00DA5668">
        <w:t xml:space="preserve"> от уточненного плана;</w:t>
      </w:r>
      <w:r w:rsidRPr="00DA5668">
        <w:rPr>
          <w:i/>
        </w:rPr>
        <w:t xml:space="preserve"> </w:t>
      </w:r>
      <w:r w:rsidRPr="00DA5668">
        <w:t xml:space="preserve">по расходам в сумме </w:t>
      </w:r>
      <w:r w:rsidR="00DA5668" w:rsidRPr="00DA5668">
        <w:rPr>
          <w:bCs/>
          <w:color w:val="000000"/>
        </w:rPr>
        <w:t>143 129 042</w:t>
      </w:r>
      <w:r w:rsidRPr="00DA5668">
        <w:t xml:space="preserve"> рублей </w:t>
      </w:r>
      <w:r w:rsidR="00DA5668" w:rsidRPr="00DA5668">
        <w:t>59 копеек (143129,0 тыс</w:t>
      </w:r>
      <w:proofErr w:type="gramStart"/>
      <w:r w:rsidR="00DA5668" w:rsidRPr="00DA5668">
        <w:t>.</w:t>
      </w:r>
      <w:r w:rsidRPr="00DA5668">
        <w:t>р</w:t>
      </w:r>
      <w:proofErr w:type="gramEnd"/>
      <w:r w:rsidRPr="00DA5668">
        <w:t>ублей), что составляет 9</w:t>
      </w:r>
      <w:r w:rsidR="00DA5668" w:rsidRPr="00DA5668">
        <w:t>4</w:t>
      </w:r>
      <w:r w:rsidRPr="00DA5668">
        <w:t>,</w:t>
      </w:r>
      <w:r w:rsidR="00DA5668" w:rsidRPr="00DA5668">
        <w:t>5</w:t>
      </w:r>
      <w:r w:rsidRPr="00DA5668">
        <w:t xml:space="preserve"> процента от уточненного плана, с превышением расходов над доходами (дефицитом) в сумме </w:t>
      </w:r>
      <w:r w:rsidR="00DA5668" w:rsidRPr="00DA5668">
        <w:t>793 170,51</w:t>
      </w:r>
      <w:r w:rsidRPr="00DA5668">
        <w:t xml:space="preserve"> рублей (</w:t>
      </w:r>
      <w:r w:rsidR="0018130F">
        <w:t>-</w:t>
      </w:r>
      <w:r w:rsidR="00DA5668" w:rsidRPr="00DA5668">
        <w:t>793,2 тыс.</w:t>
      </w:r>
      <w:r w:rsidRPr="00DA5668">
        <w:t xml:space="preserve"> рублей</w:t>
      </w:r>
      <w:r w:rsidR="00D267EF">
        <w:t>).</w:t>
      </w:r>
    </w:p>
    <w:p w:rsidR="00FE3F84" w:rsidRPr="008117E4" w:rsidRDefault="00FE3F84" w:rsidP="00FE3F84">
      <w:pPr>
        <w:autoSpaceDE w:val="0"/>
        <w:autoSpaceDN w:val="0"/>
        <w:adjustRightInd w:val="0"/>
        <w:ind w:right="-309" w:firstLine="708"/>
        <w:jc w:val="both"/>
      </w:pPr>
      <w:r w:rsidRPr="008117E4">
        <w:rPr>
          <w:snapToGrid w:val="0"/>
        </w:rPr>
        <w:t>О</w:t>
      </w:r>
      <w:r w:rsidRPr="008117E4">
        <w:t>статки средств на едином счете бюджета</w:t>
      </w:r>
      <w:r w:rsidR="00DA5668" w:rsidRPr="008117E4">
        <w:t xml:space="preserve"> муниципального района</w:t>
      </w:r>
      <w:r w:rsidRPr="008117E4">
        <w:t xml:space="preserve"> на конец отчётного периода составили </w:t>
      </w:r>
      <w:r w:rsidRPr="00B93D11">
        <w:t>2</w:t>
      </w:r>
      <w:r w:rsidR="008117E4" w:rsidRPr="00B93D11">
        <w:t> 329</w:t>
      </w:r>
      <w:r w:rsidR="0091601B" w:rsidRPr="00B93D11">
        <w:t> </w:t>
      </w:r>
      <w:r w:rsidR="008117E4" w:rsidRPr="00B93D11">
        <w:t>431</w:t>
      </w:r>
      <w:r w:rsidR="0091601B" w:rsidRPr="00B93D11">
        <w:t xml:space="preserve"> </w:t>
      </w:r>
      <w:r w:rsidR="008117E4" w:rsidRPr="00B93D11">
        <w:t>руб.77</w:t>
      </w:r>
      <w:r w:rsidR="008117E4" w:rsidRPr="008117E4">
        <w:t xml:space="preserve"> коп</w:t>
      </w:r>
      <w:proofErr w:type="gramStart"/>
      <w:r w:rsidR="008117E4" w:rsidRPr="008117E4">
        <w:t>.</w:t>
      </w:r>
      <w:proofErr w:type="gramEnd"/>
      <w:r w:rsidRPr="008117E4">
        <w:t xml:space="preserve"> (</w:t>
      </w:r>
      <w:proofErr w:type="gramStart"/>
      <w:r w:rsidRPr="008117E4">
        <w:t>н</w:t>
      </w:r>
      <w:proofErr w:type="gramEnd"/>
      <w:r w:rsidRPr="008117E4">
        <w:t xml:space="preserve">еиспользованные средства </w:t>
      </w:r>
      <w:r w:rsidR="00D267EF" w:rsidRPr="008117E4">
        <w:t>областного</w:t>
      </w:r>
      <w:r w:rsidRPr="008117E4">
        <w:t xml:space="preserve"> бюджета</w:t>
      </w:r>
      <w:r w:rsidR="00D267EF" w:rsidRPr="008117E4">
        <w:t xml:space="preserve"> в сумме 100,0 тыс. руб</w:t>
      </w:r>
      <w:r w:rsidR="008117E4" w:rsidRPr="008117E4">
        <w:t>л</w:t>
      </w:r>
      <w:r w:rsidR="00D267EF" w:rsidRPr="008117E4">
        <w:t>ей</w:t>
      </w:r>
      <w:r w:rsidRPr="008117E4">
        <w:t>).</w:t>
      </w:r>
    </w:p>
    <w:p w:rsidR="00FE3F84" w:rsidRPr="008117E4" w:rsidRDefault="00FE3F84" w:rsidP="00FE3F84">
      <w:pPr>
        <w:autoSpaceDE w:val="0"/>
        <w:autoSpaceDN w:val="0"/>
        <w:adjustRightInd w:val="0"/>
        <w:ind w:right="-309" w:firstLine="540"/>
        <w:jc w:val="both"/>
        <w:rPr>
          <w:b/>
        </w:rPr>
      </w:pPr>
    </w:p>
    <w:p w:rsidR="00FE3F84" w:rsidRDefault="00FE3F84" w:rsidP="00FE3F84">
      <w:pPr>
        <w:ind w:right="-309"/>
        <w:jc w:val="center"/>
        <w:rPr>
          <w:b/>
          <w:sz w:val="28"/>
        </w:rPr>
      </w:pPr>
      <w:r>
        <w:rPr>
          <w:b/>
          <w:sz w:val="28"/>
        </w:rPr>
        <w:t xml:space="preserve">Общие итоги социально-экономического развития </w:t>
      </w:r>
      <w:r w:rsidR="00DA5668">
        <w:rPr>
          <w:b/>
          <w:sz w:val="28"/>
        </w:rPr>
        <w:t>муниципального района</w:t>
      </w:r>
    </w:p>
    <w:p w:rsidR="00367423" w:rsidRDefault="00367423" w:rsidP="00367423">
      <w:pPr>
        <w:ind w:firstLine="709"/>
        <w:jc w:val="both"/>
      </w:pPr>
      <w:r>
        <w:t xml:space="preserve">Объем валового регионального продукта (ВРП) составил на душу населения 88,7 тыс. рублей. Общая сумма ВРП за отчетный го – 381 млн. рублей или 0,2 процента  </w:t>
      </w:r>
      <w:proofErr w:type="gramStart"/>
      <w:r>
        <w:t>от</w:t>
      </w:r>
      <w:proofErr w:type="gramEnd"/>
      <w:r>
        <w:t xml:space="preserve"> областного. Объем отгруженных товаров собственного производства составил 44,6 млн. </w:t>
      </w:r>
      <w:proofErr w:type="spellStart"/>
      <w:r>
        <w:t>рубей</w:t>
      </w:r>
      <w:proofErr w:type="spellEnd"/>
      <w:r>
        <w:t>, в том числе: ООО «</w:t>
      </w:r>
      <w:proofErr w:type="spellStart"/>
      <w:r>
        <w:t>Поддорский</w:t>
      </w:r>
      <w:proofErr w:type="spellEnd"/>
      <w:r>
        <w:t xml:space="preserve"> маслозавод» - 31,8 млн. рублей, НОАУ «</w:t>
      </w:r>
      <w:proofErr w:type="spellStart"/>
      <w:r>
        <w:t>Поддорский</w:t>
      </w:r>
      <w:proofErr w:type="spellEnd"/>
      <w:r>
        <w:t xml:space="preserve"> лесхоз» - 8,4 млн</w:t>
      </w:r>
      <w:proofErr w:type="gramStart"/>
      <w:r>
        <w:t>.р</w:t>
      </w:r>
      <w:proofErr w:type="gramEnd"/>
      <w:r>
        <w:t xml:space="preserve">ублей. </w:t>
      </w:r>
    </w:p>
    <w:p w:rsidR="00367423" w:rsidRDefault="00367423" w:rsidP="00367423">
      <w:pPr>
        <w:ind w:firstLine="709"/>
        <w:jc w:val="both"/>
      </w:pPr>
      <w:r>
        <w:lastRenderedPageBreak/>
        <w:t>Производством сельскохозяйственной продукции занимаются 2 предприятия, 14 КФХ и 1783 ЛПХ. Производство продукции в хозяйствах всех  категорий за 2015 год составило  214,9 млн. рублей.</w:t>
      </w:r>
    </w:p>
    <w:p w:rsidR="00367423" w:rsidRPr="00231B25" w:rsidRDefault="00367423" w:rsidP="00367423">
      <w:pPr>
        <w:ind w:firstLine="709"/>
        <w:jc w:val="both"/>
      </w:pPr>
      <w:r>
        <w:t>Объем инвестиций составил 13,039 млн. рубле</w:t>
      </w:r>
      <w:proofErr w:type="gramStart"/>
      <w:r>
        <w:t>й-</w:t>
      </w:r>
      <w:proofErr w:type="gramEnd"/>
      <w:r>
        <w:t xml:space="preserve"> главным образом это собственные  средства предприятий. По малым и средним предпринимателям инвестиции  в основной каптал составили 19 млн. рублей. На территории района идет реализация инвестиционного проекта по строительству </w:t>
      </w:r>
      <w:proofErr w:type="spellStart"/>
      <w:r>
        <w:t>экодеревни</w:t>
      </w:r>
      <w:proofErr w:type="spellEnd"/>
      <w:r>
        <w:t xml:space="preserve"> в </w:t>
      </w:r>
      <w:proofErr w:type="spellStart"/>
      <w:r>
        <w:t>Заручевье</w:t>
      </w:r>
      <w:proofErr w:type="spellEnd"/>
      <w:r>
        <w:t xml:space="preserve"> и ВПЛ  «</w:t>
      </w:r>
      <w:proofErr w:type="spellStart"/>
      <w:r>
        <w:t>ВЫМПЕЛ-Заручевье</w:t>
      </w:r>
      <w:proofErr w:type="spellEnd"/>
      <w:r>
        <w:t>» с объемом инвестиций 100 млн</w:t>
      </w:r>
      <w:proofErr w:type="gramStart"/>
      <w:r>
        <w:t>.р</w:t>
      </w:r>
      <w:proofErr w:type="gramEnd"/>
      <w:r>
        <w:t xml:space="preserve">ублей. ООО «Мыза» пробрело </w:t>
      </w:r>
      <w:r w:rsidRPr="00231B25">
        <w:t>сельхозтехники на 19 млн</w:t>
      </w:r>
      <w:proofErr w:type="gramStart"/>
      <w:r w:rsidRPr="00231B25">
        <w:t>.р</w:t>
      </w:r>
      <w:proofErr w:type="gramEnd"/>
      <w:r w:rsidRPr="00231B25">
        <w:t>ублей.</w:t>
      </w:r>
    </w:p>
    <w:p w:rsidR="008117E4" w:rsidRPr="00DA5668" w:rsidRDefault="00FE3F84" w:rsidP="008117E4">
      <w:pPr>
        <w:autoSpaceDE w:val="0"/>
        <w:autoSpaceDN w:val="0"/>
        <w:adjustRightInd w:val="0"/>
        <w:ind w:right="-309" w:firstLine="720"/>
        <w:jc w:val="both"/>
        <w:rPr>
          <w:kern w:val="24"/>
        </w:rPr>
      </w:pPr>
      <w:r w:rsidRPr="00DA5668">
        <w:t>Сохранена социальная направленность бюджета: р</w:t>
      </w:r>
      <w:r w:rsidRPr="00DA5668">
        <w:rPr>
          <w:color w:val="000000"/>
        </w:rPr>
        <w:t>асходы на социальную сферу (образование, культуру, социальную политику, физическую культуру и спорт) составили</w:t>
      </w:r>
      <w:r w:rsidR="00DA5668">
        <w:rPr>
          <w:color w:val="000000"/>
        </w:rPr>
        <w:t xml:space="preserve"> 68,5</w:t>
      </w:r>
      <w:r w:rsidRPr="00DA5668">
        <w:rPr>
          <w:color w:val="000000"/>
          <w:highlight w:val="yellow"/>
        </w:rPr>
        <w:t xml:space="preserve"> </w:t>
      </w:r>
      <w:r w:rsidRPr="00DA5668">
        <w:rPr>
          <w:color w:val="000000"/>
        </w:rPr>
        <w:t>процент</w:t>
      </w:r>
      <w:r w:rsidR="00DA5668" w:rsidRPr="00DA5668">
        <w:rPr>
          <w:color w:val="000000"/>
        </w:rPr>
        <w:t>ов</w:t>
      </w:r>
      <w:r w:rsidR="00DA5668">
        <w:rPr>
          <w:color w:val="000000"/>
        </w:rPr>
        <w:t xml:space="preserve"> к общему объему расходов </w:t>
      </w:r>
      <w:r w:rsidRPr="00DA5668">
        <w:rPr>
          <w:color w:val="000000"/>
        </w:rPr>
        <w:t>бюджета</w:t>
      </w:r>
      <w:r w:rsidR="00DA5668">
        <w:rPr>
          <w:color w:val="000000"/>
        </w:rPr>
        <w:t xml:space="preserve"> муниципального района</w:t>
      </w:r>
      <w:r w:rsidRPr="00DA5668">
        <w:rPr>
          <w:color w:val="000000"/>
        </w:rPr>
        <w:t xml:space="preserve">; </w:t>
      </w:r>
      <w:r w:rsidRPr="00DA5668">
        <w:t>реализовывались предусмотренные гарантии и социальные обязательства</w:t>
      </w:r>
      <w:r w:rsidR="008117E4">
        <w:rPr>
          <w:sz w:val="28"/>
          <w:szCs w:val="28"/>
        </w:rPr>
        <w:t>.</w:t>
      </w:r>
    </w:p>
    <w:p w:rsidR="00FE3F84" w:rsidRPr="00DA5668" w:rsidRDefault="00FE3F84" w:rsidP="00FE3F84">
      <w:pPr>
        <w:ind w:right="-309" w:firstLine="708"/>
        <w:jc w:val="both"/>
        <w:rPr>
          <w:b/>
          <w:i/>
        </w:rPr>
      </w:pPr>
      <w:r w:rsidRPr="00DA5668">
        <w:rPr>
          <w:kern w:val="24"/>
        </w:rPr>
        <w:t>Не в полном объеме исполнены принятые бюджетные обязательства главными распорядителями и получателями бюджетных средств по причине недофинансирования в связи с невозможностью привлечения кредитных ресурсов на покрытие дефицита бюджета</w:t>
      </w:r>
      <w:r w:rsidR="00DA5668">
        <w:rPr>
          <w:kern w:val="24"/>
        </w:rPr>
        <w:t xml:space="preserve"> муниципального района</w:t>
      </w:r>
      <w:r w:rsidRPr="00DA5668">
        <w:rPr>
          <w:kern w:val="24"/>
        </w:rPr>
        <w:t xml:space="preserve">. </w:t>
      </w:r>
    </w:p>
    <w:p w:rsidR="00FE3F84" w:rsidRPr="00DA5668" w:rsidRDefault="00FE3F84" w:rsidP="00FE3F84">
      <w:pPr>
        <w:ind w:right="-309"/>
        <w:jc w:val="center"/>
        <w:rPr>
          <w:b/>
        </w:rPr>
      </w:pPr>
    </w:p>
    <w:p w:rsidR="00FE3F84" w:rsidRPr="008117E4" w:rsidRDefault="00FE3F84" w:rsidP="00FE3F84">
      <w:pPr>
        <w:ind w:right="-309"/>
        <w:jc w:val="center"/>
        <w:rPr>
          <w:b/>
        </w:rPr>
      </w:pPr>
      <w:r w:rsidRPr="008117E4">
        <w:rPr>
          <w:b/>
        </w:rPr>
        <w:t>Исполнение доходной части  бюджета</w:t>
      </w:r>
      <w:r w:rsidR="00DA5668" w:rsidRPr="008117E4">
        <w:rPr>
          <w:b/>
        </w:rPr>
        <w:t xml:space="preserve"> муниципального района</w:t>
      </w:r>
      <w:r w:rsidRPr="008117E4">
        <w:rPr>
          <w:b/>
        </w:rPr>
        <w:t xml:space="preserve"> </w:t>
      </w:r>
    </w:p>
    <w:p w:rsidR="00FE3F84" w:rsidRPr="008117E4" w:rsidRDefault="00FE3F84" w:rsidP="00FE3F84">
      <w:pPr>
        <w:ind w:right="-309"/>
        <w:jc w:val="both"/>
      </w:pPr>
    </w:p>
    <w:p w:rsidR="00DA5668" w:rsidRDefault="00FE3F84" w:rsidP="00FE3F84">
      <w:pPr>
        <w:ind w:right="-309"/>
        <w:jc w:val="both"/>
      </w:pPr>
      <w:r>
        <w:rPr>
          <w:sz w:val="28"/>
          <w:szCs w:val="28"/>
        </w:rPr>
        <w:tab/>
      </w:r>
      <w:r w:rsidRPr="00420DE4">
        <w:t xml:space="preserve">Исполнение доходной части бюджета </w:t>
      </w:r>
      <w:r w:rsidR="00DA5668" w:rsidRPr="00420DE4">
        <w:t xml:space="preserve">муниципального района </w:t>
      </w:r>
      <w:r w:rsidRPr="00420DE4">
        <w:t>за 201</w:t>
      </w:r>
      <w:r w:rsidR="00DA5668" w:rsidRPr="00420DE4">
        <w:t>5</w:t>
      </w:r>
      <w:r w:rsidRPr="00420DE4">
        <w:t xml:space="preserve"> год характеризуется следующими показателями:  </w:t>
      </w:r>
    </w:p>
    <w:p w:rsidR="00420DE4" w:rsidRPr="00420DE4" w:rsidRDefault="00420DE4" w:rsidP="00FE3F84">
      <w:pPr>
        <w:ind w:right="-3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</w:t>
      </w:r>
      <w:r w:rsidRPr="00420DE4">
        <w:rPr>
          <w:sz w:val="20"/>
          <w:szCs w:val="20"/>
        </w:rPr>
        <w:t>(тыс</w:t>
      </w:r>
      <w:proofErr w:type="gramStart"/>
      <w:r w:rsidRPr="00420DE4">
        <w:rPr>
          <w:sz w:val="20"/>
          <w:szCs w:val="20"/>
        </w:rPr>
        <w:t>.р</w:t>
      </w:r>
      <w:proofErr w:type="gramEnd"/>
      <w:r w:rsidRPr="00420DE4">
        <w:rPr>
          <w:sz w:val="20"/>
          <w:szCs w:val="20"/>
        </w:rPr>
        <w:t>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260"/>
        <w:gridCol w:w="1067"/>
        <w:gridCol w:w="1134"/>
        <w:gridCol w:w="992"/>
        <w:gridCol w:w="851"/>
        <w:gridCol w:w="1176"/>
      </w:tblGrid>
      <w:tr w:rsidR="00DA5668" w:rsidRPr="00CC4735" w:rsidTr="00FD76FF">
        <w:tc>
          <w:tcPr>
            <w:tcW w:w="3168" w:type="dxa"/>
            <w:vMerge w:val="restart"/>
          </w:tcPr>
          <w:p w:rsidR="00DA5668" w:rsidRPr="00CC4735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both"/>
            </w:pPr>
            <w:r w:rsidRPr="00CC4735">
              <w:t>Виды доходов</w:t>
            </w:r>
          </w:p>
        </w:tc>
        <w:tc>
          <w:tcPr>
            <w:tcW w:w="1260" w:type="dxa"/>
            <w:vMerge w:val="restart"/>
          </w:tcPr>
          <w:p w:rsidR="00DA5668" w:rsidRPr="00CC4735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 w:rsidRPr="00CC4735">
              <w:t>Факт</w:t>
            </w:r>
          </w:p>
          <w:p w:rsidR="00DA5668" w:rsidRPr="00CC4735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>
              <w:t>2014</w:t>
            </w:r>
            <w:r w:rsidRPr="00CC4735">
              <w:t xml:space="preserve"> года</w:t>
            </w:r>
          </w:p>
        </w:tc>
        <w:tc>
          <w:tcPr>
            <w:tcW w:w="5220" w:type="dxa"/>
            <w:gridSpan w:val="5"/>
          </w:tcPr>
          <w:p w:rsidR="00DA5668" w:rsidRPr="00CC4735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>
              <w:t>2015</w:t>
            </w:r>
            <w:r w:rsidRPr="00CC4735">
              <w:t xml:space="preserve"> год</w:t>
            </w:r>
          </w:p>
        </w:tc>
      </w:tr>
      <w:tr w:rsidR="00DA5668" w:rsidRPr="00CC4735" w:rsidTr="00420DE4">
        <w:tc>
          <w:tcPr>
            <w:tcW w:w="3168" w:type="dxa"/>
            <w:vMerge/>
          </w:tcPr>
          <w:p w:rsidR="00DA5668" w:rsidRPr="00CC4735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both"/>
            </w:pPr>
          </w:p>
        </w:tc>
        <w:tc>
          <w:tcPr>
            <w:tcW w:w="1260" w:type="dxa"/>
            <w:vMerge/>
          </w:tcPr>
          <w:p w:rsidR="00DA5668" w:rsidRPr="00CC4735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</w:p>
        </w:tc>
        <w:tc>
          <w:tcPr>
            <w:tcW w:w="1067" w:type="dxa"/>
          </w:tcPr>
          <w:p w:rsidR="00DA5668" w:rsidRPr="00CC4735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>
              <w:t>Уточненный п</w:t>
            </w:r>
            <w:r w:rsidRPr="00CC4735">
              <w:t>лан</w:t>
            </w:r>
          </w:p>
        </w:tc>
        <w:tc>
          <w:tcPr>
            <w:tcW w:w="1134" w:type="dxa"/>
          </w:tcPr>
          <w:p w:rsidR="00DA5668" w:rsidRPr="00CC4735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 w:rsidRPr="00CC4735">
              <w:t>Факт</w:t>
            </w:r>
          </w:p>
        </w:tc>
        <w:tc>
          <w:tcPr>
            <w:tcW w:w="992" w:type="dxa"/>
          </w:tcPr>
          <w:p w:rsidR="00DA5668" w:rsidRPr="00CC4735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>
              <w:t>% исполнения</w:t>
            </w:r>
          </w:p>
        </w:tc>
        <w:tc>
          <w:tcPr>
            <w:tcW w:w="851" w:type="dxa"/>
          </w:tcPr>
          <w:p w:rsidR="00DA5668" w:rsidRPr="00CC4735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>
              <w:t>Удельный</w:t>
            </w:r>
          </w:p>
          <w:p w:rsidR="00DA5668" w:rsidRPr="00CC4735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 w:rsidRPr="00CC4735">
              <w:t>Вес</w:t>
            </w:r>
          </w:p>
        </w:tc>
        <w:tc>
          <w:tcPr>
            <w:tcW w:w="1176" w:type="dxa"/>
          </w:tcPr>
          <w:p w:rsidR="00DA5668" w:rsidRPr="00CC4735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>
              <w:t xml:space="preserve">% исполнения к 2014 году  </w:t>
            </w:r>
          </w:p>
        </w:tc>
      </w:tr>
      <w:tr w:rsidR="00DA5668" w:rsidRPr="000F75B2" w:rsidTr="00420DE4">
        <w:tc>
          <w:tcPr>
            <w:tcW w:w="3168" w:type="dxa"/>
          </w:tcPr>
          <w:p w:rsidR="00DA5668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both"/>
            </w:pPr>
          </w:p>
          <w:p w:rsidR="00DA5668" w:rsidRPr="00CC4735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both"/>
            </w:pPr>
            <w:r w:rsidRPr="00CC4735">
              <w:t>Налоговые</w:t>
            </w:r>
          </w:p>
        </w:tc>
        <w:tc>
          <w:tcPr>
            <w:tcW w:w="1260" w:type="dxa"/>
          </w:tcPr>
          <w:p w:rsidR="00DA5668" w:rsidRPr="000F75B2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</w:p>
          <w:p w:rsidR="00DA5668" w:rsidRPr="000F75B2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 w:rsidRPr="000F75B2">
              <w:t>36 129,3</w:t>
            </w:r>
          </w:p>
        </w:tc>
        <w:tc>
          <w:tcPr>
            <w:tcW w:w="1067" w:type="dxa"/>
          </w:tcPr>
          <w:p w:rsidR="00DA5668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</w:p>
          <w:p w:rsidR="00DA5668" w:rsidRPr="000F75B2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>
              <w:t>35 262,8</w:t>
            </w:r>
          </w:p>
        </w:tc>
        <w:tc>
          <w:tcPr>
            <w:tcW w:w="1134" w:type="dxa"/>
          </w:tcPr>
          <w:p w:rsidR="00DA5668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</w:p>
          <w:p w:rsidR="00DA5668" w:rsidRPr="000F75B2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>
              <w:t>37 832,6</w:t>
            </w:r>
          </w:p>
        </w:tc>
        <w:tc>
          <w:tcPr>
            <w:tcW w:w="992" w:type="dxa"/>
          </w:tcPr>
          <w:p w:rsidR="00DA5668" w:rsidRDefault="00DA5668" w:rsidP="00FD76FF">
            <w:pPr>
              <w:pStyle w:val="11"/>
              <w:ind w:right="-5"/>
              <w:jc w:val="center"/>
            </w:pPr>
          </w:p>
          <w:p w:rsidR="00DA5668" w:rsidRPr="000F75B2" w:rsidRDefault="00DA5668" w:rsidP="00FD76FF">
            <w:pPr>
              <w:pStyle w:val="11"/>
              <w:ind w:right="-5"/>
              <w:jc w:val="center"/>
            </w:pPr>
            <w:r>
              <w:t>107,3</w:t>
            </w:r>
          </w:p>
        </w:tc>
        <w:tc>
          <w:tcPr>
            <w:tcW w:w="851" w:type="dxa"/>
          </w:tcPr>
          <w:p w:rsidR="00DA5668" w:rsidRDefault="00DA5668" w:rsidP="00FD76FF">
            <w:pPr>
              <w:pStyle w:val="11"/>
              <w:ind w:right="-5"/>
              <w:jc w:val="center"/>
            </w:pPr>
          </w:p>
          <w:p w:rsidR="00DA5668" w:rsidRPr="000F75B2" w:rsidRDefault="00DA5668" w:rsidP="00FD76FF">
            <w:pPr>
              <w:pStyle w:val="11"/>
              <w:ind w:right="-5"/>
              <w:jc w:val="center"/>
            </w:pPr>
            <w:r>
              <w:t>26,6</w:t>
            </w:r>
          </w:p>
        </w:tc>
        <w:tc>
          <w:tcPr>
            <w:tcW w:w="1176" w:type="dxa"/>
          </w:tcPr>
          <w:p w:rsidR="00DA5668" w:rsidRDefault="00DA5668" w:rsidP="00FD76FF">
            <w:pPr>
              <w:pStyle w:val="11"/>
              <w:ind w:right="-5"/>
              <w:jc w:val="center"/>
            </w:pPr>
          </w:p>
          <w:p w:rsidR="00DA5668" w:rsidRPr="000F75B2" w:rsidRDefault="00DA5668" w:rsidP="00FD76FF">
            <w:pPr>
              <w:pStyle w:val="11"/>
              <w:ind w:right="-5"/>
              <w:jc w:val="center"/>
            </w:pPr>
            <w:r>
              <w:t>104,7</w:t>
            </w:r>
          </w:p>
        </w:tc>
      </w:tr>
      <w:tr w:rsidR="00DA5668" w:rsidRPr="000F75B2" w:rsidTr="00420DE4">
        <w:trPr>
          <w:trHeight w:val="269"/>
        </w:trPr>
        <w:tc>
          <w:tcPr>
            <w:tcW w:w="3168" w:type="dxa"/>
          </w:tcPr>
          <w:p w:rsidR="00DA5668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both"/>
            </w:pPr>
          </w:p>
          <w:p w:rsidR="00DA5668" w:rsidRPr="00CC4735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both"/>
            </w:pPr>
            <w:r w:rsidRPr="00CC4735">
              <w:t>Неналоговые</w:t>
            </w:r>
          </w:p>
        </w:tc>
        <w:tc>
          <w:tcPr>
            <w:tcW w:w="1260" w:type="dxa"/>
            <w:vAlign w:val="bottom"/>
          </w:tcPr>
          <w:p w:rsidR="00DA5668" w:rsidRPr="000F75B2" w:rsidRDefault="00DA5668" w:rsidP="00FD76FF">
            <w:pPr>
              <w:jc w:val="center"/>
              <w:rPr>
                <w:sz w:val="20"/>
                <w:szCs w:val="20"/>
              </w:rPr>
            </w:pPr>
            <w:r w:rsidRPr="000F75B2">
              <w:rPr>
                <w:sz w:val="20"/>
                <w:szCs w:val="20"/>
              </w:rPr>
              <w:t>3 124,4</w:t>
            </w:r>
          </w:p>
        </w:tc>
        <w:tc>
          <w:tcPr>
            <w:tcW w:w="1067" w:type="dxa"/>
          </w:tcPr>
          <w:p w:rsidR="00DA5668" w:rsidRDefault="00DA5668" w:rsidP="00FD76FF">
            <w:pPr>
              <w:jc w:val="center"/>
              <w:rPr>
                <w:bCs/>
                <w:sz w:val="20"/>
                <w:szCs w:val="20"/>
              </w:rPr>
            </w:pPr>
          </w:p>
          <w:p w:rsidR="00DA5668" w:rsidRPr="000F75B2" w:rsidRDefault="00DA5668" w:rsidP="00FD76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4 198,2</w:t>
            </w:r>
          </w:p>
        </w:tc>
        <w:tc>
          <w:tcPr>
            <w:tcW w:w="1134" w:type="dxa"/>
            <w:vAlign w:val="bottom"/>
          </w:tcPr>
          <w:p w:rsidR="00DA5668" w:rsidRPr="000F75B2" w:rsidRDefault="00DA5668" w:rsidP="00FD7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2 128,4</w:t>
            </w:r>
          </w:p>
        </w:tc>
        <w:tc>
          <w:tcPr>
            <w:tcW w:w="992" w:type="dxa"/>
            <w:vAlign w:val="bottom"/>
          </w:tcPr>
          <w:p w:rsidR="00DA5668" w:rsidRPr="000F75B2" w:rsidRDefault="00DA5668" w:rsidP="00FD7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851" w:type="dxa"/>
            <w:vAlign w:val="bottom"/>
          </w:tcPr>
          <w:p w:rsidR="00DA5668" w:rsidRPr="000F75B2" w:rsidRDefault="00DA5668" w:rsidP="00FD7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76" w:type="dxa"/>
          </w:tcPr>
          <w:p w:rsidR="00DA5668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</w:p>
          <w:p w:rsidR="00DA5668" w:rsidRPr="000F75B2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>
              <w:t>68,1</w:t>
            </w:r>
          </w:p>
        </w:tc>
      </w:tr>
      <w:tr w:rsidR="00DA5668" w:rsidRPr="000F75B2" w:rsidTr="00420DE4">
        <w:tc>
          <w:tcPr>
            <w:tcW w:w="3168" w:type="dxa"/>
          </w:tcPr>
          <w:p w:rsidR="00DA5668" w:rsidRPr="000F75B2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both"/>
              <w:rPr>
                <w:b/>
              </w:rPr>
            </w:pPr>
            <w:r w:rsidRPr="000F75B2">
              <w:rPr>
                <w:b/>
              </w:rPr>
              <w:t>Итого налоговые и неналоговые доходы</w:t>
            </w:r>
          </w:p>
        </w:tc>
        <w:tc>
          <w:tcPr>
            <w:tcW w:w="1260" w:type="dxa"/>
          </w:tcPr>
          <w:p w:rsidR="00DA5668" w:rsidRPr="000F75B2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  <w:rPr>
                <w:b/>
              </w:rPr>
            </w:pPr>
          </w:p>
          <w:p w:rsidR="00DA5668" w:rsidRPr="000F75B2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  <w:rPr>
                <w:b/>
              </w:rPr>
            </w:pPr>
            <w:r w:rsidRPr="000F75B2">
              <w:rPr>
                <w:b/>
              </w:rPr>
              <w:t>39 253,7</w:t>
            </w:r>
          </w:p>
        </w:tc>
        <w:tc>
          <w:tcPr>
            <w:tcW w:w="1067" w:type="dxa"/>
          </w:tcPr>
          <w:p w:rsidR="00DA5668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  <w:rPr>
                <w:b/>
              </w:rPr>
            </w:pPr>
          </w:p>
          <w:p w:rsidR="00DA5668" w:rsidRPr="000F75B2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  <w:rPr>
                <w:b/>
              </w:rPr>
            </w:pPr>
            <w:r>
              <w:rPr>
                <w:b/>
              </w:rPr>
              <w:t>39 461,0</w:t>
            </w:r>
          </w:p>
        </w:tc>
        <w:tc>
          <w:tcPr>
            <w:tcW w:w="1134" w:type="dxa"/>
          </w:tcPr>
          <w:p w:rsidR="00DA5668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  <w:rPr>
                <w:b/>
              </w:rPr>
            </w:pPr>
          </w:p>
          <w:p w:rsidR="00DA5668" w:rsidRPr="000F75B2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  <w:rPr>
                <w:b/>
              </w:rPr>
            </w:pPr>
            <w:r>
              <w:rPr>
                <w:b/>
              </w:rPr>
              <w:t>39 961,0</w:t>
            </w:r>
          </w:p>
        </w:tc>
        <w:tc>
          <w:tcPr>
            <w:tcW w:w="992" w:type="dxa"/>
          </w:tcPr>
          <w:p w:rsidR="00DA5668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  <w:rPr>
                <w:b/>
              </w:rPr>
            </w:pPr>
          </w:p>
          <w:p w:rsidR="00DA5668" w:rsidRPr="000F75B2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  <w:rPr>
                <w:b/>
              </w:rPr>
            </w:pPr>
            <w:r>
              <w:rPr>
                <w:b/>
              </w:rPr>
              <w:t>101,3</w:t>
            </w:r>
          </w:p>
        </w:tc>
        <w:tc>
          <w:tcPr>
            <w:tcW w:w="851" w:type="dxa"/>
          </w:tcPr>
          <w:p w:rsidR="00DA5668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  <w:rPr>
                <w:b/>
              </w:rPr>
            </w:pPr>
          </w:p>
          <w:p w:rsidR="00DA5668" w:rsidRPr="000F75B2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  <w:rPr>
                <w:b/>
              </w:rPr>
            </w:pPr>
            <w:r>
              <w:rPr>
                <w:b/>
              </w:rPr>
              <w:t>28,1</w:t>
            </w:r>
          </w:p>
        </w:tc>
        <w:tc>
          <w:tcPr>
            <w:tcW w:w="1176" w:type="dxa"/>
          </w:tcPr>
          <w:p w:rsidR="00DA5668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  <w:rPr>
                <w:b/>
              </w:rPr>
            </w:pPr>
          </w:p>
          <w:p w:rsidR="00DA5668" w:rsidRPr="000F75B2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  <w:rPr>
                <w:b/>
              </w:rPr>
            </w:pPr>
            <w:r>
              <w:rPr>
                <w:b/>
              </w:rPr>
              <w:t>101,8</w:t>
            </w:r>
          </w:p>
        </w:tc>
      </w:tr>
      <w:tr w:rsidR="00DA5668" w:rsidRPr="00CC4735" w:rsidTr="00420DE4">
        <w:tc>
          <w:tcPr>
            <w:tcW w:w="3168" w:type="dxa"/>
          </w:tcPr>
          <w:p w:rsidR="00DA5668" w:rsidRPr="00CC4735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both"/>
            </w:pPr>
            <w:r>
              <w:t>Безвозмездные поступления</w:t>
            </w:r>
            <w:r w:rsidRPr="00CC4735">
              <w:t xml:space="preserve"> </w:t>
            </w:r>
          </w:p>
        </w:tc>
        <w:tc>
          <w:tcPr>
            <w:tcW w:w="1260" w:type="dxa"/>
          </w:tcPr>
          <w:p w:rsidR="00DA5668" w:rsidRPr="002410FD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>
              <w:t>104 488,3</w:t>
            </w:r>
          </w:p>
        </w:tc>
        <w:tc>
          <w:tcPr>
            <w:tcW w:w="1067" w:type="dxa"/>
          </w:tcPr>
          <w:p w:rsidR="00DA5668" w:rsidRPr="005748D0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>
              <w:t>107 185,1</w:t>
            </w:r>
          </w:p>
        </w:tc>
        <w:tc>
          <w:tcPr>
            <w:tcW w:w="1134" w:type="dxa"/>
          </w:tcPr>
          <w:p w:rsidR="00DA5668" w:rsidRPr="002410FD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>
              <w:t>102 374,9</w:t>
            </w:r>
          </w:p>
        </w:tc>
        <w:tc>
          <w:tcPr>
            <w:tcW w:w="992" w:type="dxa"/>
          </w:tcPr>
          <w:p w:rsidR="00DA5668" w:rsidRPr="00B771ED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>
              <w:t>95,5</w:t>
            </w:r>
          </w:p>
        </w:tc>
        <w:tc>
          <w:tcPr>
            <w:tcW w:w="851" w:type="dxa"/>
          </w:tcPr>
          <w:p w:rsidR="00DA5668" w:rsidRPr="00CC4735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>
              <w:t>71,9</w:t>
            </w:r>
          </w:p>
        </w:tc>
        <w:tc>
          <w:tcPr>
            <w:tcW w:w="1176" w:type="dxa"/>
          </w:tcPr>
          <w:p w:rsidR="00DA5668" w:rsidRPr="00CC4735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>
              <w:t>98,0</w:t>
            </w:r>
          </w:p>
        </w:tc>
      </w:tr>
      <w:tr w:rsidR="00DA5668" w:rsidRPr="00D25426" w:rsidTr="00420DE4">
        <w:tc>
          <w:tcPr>
            <w:tcW w:w="3168" w:type="dxa"/>
          </w:tcPr>
          <w:p w:rsidR="00DA5668" w:rsidRPr="00D25426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both"/>
              <w:rPr>
                <w:b/>
              </w:rPr>
            </w:pPr>
            <w:r w:rsidRPr="00D25426">
              <w:rPr>
                <w:b/>
              </w:rPr>
              <w:t>Всего доходов</w:t>
            </w:r>
          </w:p>
        </w:tc>
        <w:tc>
          <w:tcPr>
            <w:tcW w:w="1260" w:type="dxa"/>
          </w:tcPr>
          <w:p w:rsidR="00DA5668" w:rsidRPr="005D514D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  <w:rPr>
                <w:b/>
              </w:rPr>
            </w:pPr>
            <w:r>
              <w:rPr>
                <w:b/>
              </w:rPr>
              <w:t>143 742,0</w:t>
            </w:r>
          </w:p>
        </w:tc>
        <w:tc>
          <w:tcPr>
            <w:tcW w:w="1067" w:type="dxa"/>
          </w:tcPr>
          <w:p w:rsidR="00DA5668" w:rsidRPr="005D514D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  <w:rPr>
                <w:b/>
              </w:rPr>
            </w:pPr>
            <w:r>
              <w:rPr>
                <w:b/>
              </w:rPr>
              <w:t>146 646,1</w:t>
            </w:r>
          </w:p>
        </w:tc>
        <w:tc>
          <w:tcPr>
            <w:tcW w:w="1134" w:type="dxa"/>
          </w:tcPr>
          <w:p w:rsidR="00DA5668" w:rsidRPr="005D514D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  <w:rPr>
                <w:b/>
              </w:rPr>
            </w:pPr>
            <w:r>
              <w:rPr>
                <w:b/>
              </w:rPr>
              <w:t>142 335,9</w:t>
            </w:r>
          </w:p>
        </w:tc>
        <w:tc>
          <w:tcPr>
            <w:tcW w:w="992" w:type="dxa"/>
          </w:tcPr>
          <w:p w:rsidR="00DA5668" w:rsidRPr="005D514D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  <w:rPr>
                <w:b/>
              </w:rPr>
            </w:pPr>
            <w:r>
              <w:rPr>
                <w:b/>
              </w:rPr>
              <w:t>97,1</w:t>
            </w:r>
          </w:p>
        </w:tc>
        <w:tc>
          <w:tcPr>
            <w:tcW w:w="851" w:type="dxa"/>
          </w:tcPr>
          <w:p w:rsidR="00DA5668" w:rsidRPr="00D25426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76" w:type="dxa"/>
          </w:tcPr>
          <w:p w:rsidR="00DA5668" w:rsidRPr="00D25426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DA5668" w:rsidTr="00420DE4">
        <w:tc>
          <w:tcPr>
            <w:tcW w:w="3168" w:type="dxa"/>
          </w:tcPr>
          <w:p w:rsidR="00DA5668" w:rsidRPr="00B20CF2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both"/>
              <w:rPr>
                <w:b/>
              </w:rPr>
            </w:pPr>
            <w:r w:rsidRPr="00B20CF2">
              <w:rPr>
                <w:b/>
              </w:rPr>
              <w:t>Расходы</w:t>
            </w:r>
          </w:p>
        </w:tc>
        <w:tc>
          <w:tcPr>
            <w:tcW w:w="1260" w:type="dxa"/>
          </w:tcPr>
          <w:p w:rsidR="00DA5668" w:rsidRPr="00B20CF2" w:rsidRDefault="00DA5668" w:rsidP="00FD76FF">
            <w:pPr>
              <w:jc w:val="center"/>
              <w:rPr>
                <w:b/>
                <w:bCs/>
                <w:sz w:val="20"/>
                <w:szCs w:val="20"/>
              </w:rPr>
            </w:pPr>
            <w:r w:rsidRPr="00B20CF2">
              <w:rPr>
                <w:b/>
                <w:bCs/>
                <w:sz w:val="20"/>
                <w:szCs w:val="20"/>
              </w:rPr>
              <w:t>141 108,8</w:t>
            </w:r>
          </w:p>
        </w:tc>
        <w:tc>
          <w:tcPr>
            <w:tcW w:w="1067" w:type="dxa"/>
          </w:tcPr>
          <w:p w:rsidR="00DA5668" w:rsidRPr="00B20CF2" w:rsidRDefault="00DA5668" w:rsidP="00FD76FF">
            <w:pPr>
              <w:jc w:val="center"/>
              <w:rPr>
                <w:b/>
                <w:bCs/>
                <w:sz w:val="20"/>
                <w:szCs w:val="20"/>
              </w:rPr>
            </w:pPr>
            <w:r w:rsidRPr="00B20CF2">
              <w:rPr>
                <w:b/>
                <w:bCs/>
                <w:sz w:val="20"/>
                <w:szCs w:val="20"/>
              </w:rPr>
              <w:t>151 514,1</w:t>
            </w:r>
          </w:p>
        </w:tc>
        <w:tc>
          <w:tcPr>
            <w:tcW w:w="1134" w:type="dxa"/>
          </w:tcPr>
          <w:p w:rsidR="00DA5668" w:rsidRPr="00B20CF2" w:rsidRDefault="00DA5668" w:rsidP="00FD76FF">
            <w:pPr>
              <w:jc w:val="center"/>
              <w:rPr>
                <w:b/>
                <w:bCs/>
                <w:sz w:val="20"/>
                <w:szCs w:val="20"/>
              </w:rPr>
            </w:pPr>
            <w:r w:rsidRPr="00B20CF2">
              <w:rPr>
                <w:b/>
                <w:bCs/>
                <w:sz w:val="20"/>
                <w:szCs w:val="20"/>
              </w:rPr>
              <w:t>143 129,0</w:t>
            </w:r>
          </w:p>
        </w:tc>
        <w:tc>
          <w:tcPr>
            <w:tcW w:w="992" w:type="dxa"/>
          </w:tcPr>
          <w:p w:rsidR="00DA5668" w:rsidRPr="00B20CF2" w:rsidRDefault="00DA5668" w:rsidP="00FD76FF">
            <w:pPr>
              <w:jc w:val="center"/>
              <w:rPr>
                <w:b/>
                <w:bCs/>
                <w:sz w:val="20"/>
                <w:szCs w:val="20"/>
              </w:rPr>
            </w:pPr>
            <w:r w:rsidRPr="00B20CF2">
              <w:rPr>
                <w:b/>
                <w:bCs/>
                <w:sz w:val="20"/>
                <w:szCs w:val="20"/>
              </w:rPr>
              <w:t>94,5</w:t>
            </w:r>
          </w:p>
        </w:tc>
        <w:tc>
          <w:tcPr>
            <w:tcW w:w="851" w:type="dxa"/>
          </w:tcPr>
          <w:p w:rsidR="00DA5668" w:rsidRPr="00B20CF2" w:rsidRDefault="00DA5668" w:rsidP="00FD76FF">
            <w:pPr>
              <w:jc w:val="center"/>
              <w:rPr>
                <w:b/>
                <w:bCs/>
                <w:sz w:val="20"/>
                <w:szCs w:val="20"/>
              </w:rPr>
            </w:pPr>
            <w:r w:rsidRPr="00B20CF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76" w:type="dxa"/>
          </w:tcPr>
          <w:p w:rsidR="00DA5668" w:rsidRPr="00B20CF2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  <w:rPr>
                <w:b/>
              </w:rPr>
            </w:pPr>
            <w:r w:rsidRPr="00B20CF2">
              <w:rPr>
                <w:b/>
              </w:rPr>
              <w:t>101,4</w:t>
            </w:r>
          </w:p>
        </w:tc>
      </w:tr>
      <w:tr w:rsidR="00DA5668" w:rsidTr="00420DE4">
        <w:tc>
          <w:tcPr>
            <w:tcW w:w="3168" w:type="dxa"/>
          </w:tcPr>
          <w:p w:rsidR="00DA5668" w:rsidRPr="00B20CF2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both"/>
              <w:rPr>
                <w:b/>
              </w:rPr>
            </w:pPr>
            <w:r w:rsidRPr="00B20CF2">
              <w:rPr>
                <w:b/>
              </w:rPr>
              <w:t>Дефицит</w:t>
            </w:r>
            <w:proofErr w:type="gramStart"/>
            <w:r w:rsidRPr="00B20CF2">
              <w:rPr>
                <w:b/>
              </w:rPr>
              <w:t xml:space="preserve"> (-), </w:t>
            </w:r>
            <w:proofErr w:type="spellStart"/>
            <w:proofErr w:type="gramEnd"/>
            <w:r w:rsidRPr="00B20CF2">
              <w:rPr>
                <w:b/>
              </w:rPr>
              <w:t>профицит</w:t>
            </w:r>
            <w:proofErr w:type="spellEnd"/>
            <w:r w:rsidRPr="00B20CF2">
              <w:rPr>
                <w:b/>
              </w:rPr>
              <w:t xml:space="preserve"> (+)</w:t>
            </w:r>
          </w:p>
        </w:tc>
        <w:tc>
          <w:tcPr>
            <w:tcW w:w="1260" w:type="dxa"/>
          </w:tcPr>
          <w:p w:rsidR="00DA5668" w:rsidRPr="00B20CF2" w:rsidRDefault="00DA5668" w:rsidP="00FD76FF">
            <w:pPr>
              <w:jc w:val="center"/>
              <w:rPr>
                <w:b/>
                <w:bCs/>
                <w:sz w:val="20"/>
                <w:szCs w:val="20"/>
              </w:rPr>
            </w:pPr>
            <w:r w:rsidRPr="00B20CF2">
              <w:rPr>
                <w:b/>
                <w:bCs/>
                <w:sz w:val="20"/>
                <w:szCs w:val="20"/>
              </w:rPr>
              <w:t>2 633,2</w:t>
            </w:r>
          </w:p>
        </w:tc>
        <w:tc>
          <w:tcPr>
            <w:tcW w:w="1067" w:type="dxa"/>
          </w:tcPr>
          <w:p w:rsidR="00DA5668" w:rsidRPr="00B20CF2" w:rsidRDefault="00DA5668" w:rsidP="00FD76FF">
            <w:pPr>
              <w:jc w:val="center"/>
              <w:rPr>
                <w:b/>
                <w:bCs/>
                <w:sz w:val="20"/>
                <w:szCs w:val="20"/>
              </w:rPr>
            </w:pPr>
            <w:r w:rsidRPr="00B20CF2">
              <w:rPr>
                <w:b/>
                <w:bCs/>
                <w:sz w:val="20"/>
                <w:szCs w:val="20"/>
              </w:rPr>
              <w:t>- 4 868,0</w:t>
            </w:r>
          </w:p>
        </w:tc>
        <w:tc>
          <w:tcPr>
            <w:tcW w:w="1134" w:type="dxa"/>
          </w:tcPr>
          <w:p w:rsidR="00DA5668" w:rsidRPr="00B20CF2" w:rsidRDefault="00DA5668" w:rsidP="00FD76FF">
            <w:pPr>
              <w:jc w:val="center"/>
              <w:rPr>
                <w:b/>
                <w:bCs/>
                <w:sz w:val="20"/>
                <w:szCs w:val="20"/>
              </w:rPr>
            </w:pPr>
            <w:r w:rsidRPr="00B20CF2">
              <w:rPr>
                <w:b/>
                <w:bCs/>
                <w:sz w:val="20"/>
                <w:szCs w:val="20"/>
              </w:rPr>
              <w:t>-793,1</w:t>
            </w:r>
          </w:p>
        </w:tc>
        <w:tc>
          <w:tcPr>
            <w:tcW w:w="992" w:type="dxa"/>
          </w:tcPr>
          <w:p w:rsidR="00DA5668" w:rsidRPr="00B20CF2" w:rsidRDefault="00DA5668" w:rsidP="00FD76FF">
            <w:pPr>
              <w:jc w:val="center"/>
              <w:rPr>
                <w:b/>
                <w:bCs/>
                <w:sz w:val="20"/>
                <w:szCs w:val="20"/>
              </w:rPr>
            </w:pPr>
            <w:r w:rsidRPr="00B20CF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DA5668" w:rsidRPr="00B20CF2" w:rsidRDefault="00DA5668" w:rsidP="00FD76FF">
            <w:pPr>
              <w:jc w:val="center"/>
              <w:rPr>
                <w:b/>
                <w:bCs/>
                <w:sz w:val="20"/>
                <w:szCs w:val="20"/>
              </w:rPr>
            </w:pPr>
            <w:r w:rsidRPr="00B20CF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76" w:type="dxa"/>
          </w:tcPr>
          <w:p w:rsidR="00DA5668" w:rsidRPr="00B20CF2" w:rsidRDefault="00DA5668" w:rsidP="00FD76FF">
            <w:pPr>
              <w:pStyle w:val="11"/>
              <w:numPr>
                <w:ilvl w:val="12"/>
                <w:numId w:val="0"/>
              </w:numPr>
              <w:ind w:right="-5"/>
              <w:jc w:val="center"/>
              <w:rPr>
                <w:b/>
              </w:rPr>
            </w:pPr>
            <w:r w:rsidRPr="00B20CF2">
              <w:rPr>
                <w:b/>
              </w:rPr>
              <w:t>Х</w:t>
            </w:r>
          </w:p>
        </w:tc>
      </w:tr>
    </w:tbl>
    <w:p w:rsidR="00FE3F84" w:rsidRDefault="00FE3F84" w:rsidP="00FE3F84">
      <w:pPr>
        <w:ind w:right="-309"/>
        <w:jc w:val="both"/>
      </w:pPr>
      <w:r>
        <w:t xml:space="preserve">                                                                                                                   </w:t>
      </w:r>
    </w:p>
    <w:p w:rsidR="00FE3F84" w:rsidRPr="00E860D5" w:rsidRDefault="00FE3F84" w:rsidP="00FE3F84">
      <w:pPr>
        <w:pStyle w:val="11"/>
        <w:numPr>
          <w:ilvl w:val="12"/>
          <w:numId w:val="0"/>
        </w:numPr>
        <w:tabs>
          <w:tab w:val="left" w:pos="540"/>
        </w:tabs>
        <w:ind w:right="-309" w:firstLine="720"/>
        <w:jc w:val="both"/>
        <w:rPr>
          <w:sz w:val="24"/>
          <w:szCs w:val="24"/>
        </w:rPr>
      </w:pPr>
      <w:r w:rsidRPr="00E860D5">
        <w:rPr>
          <w:b/>
          <w:sz w:val="24"/>
          <w:szCs w:val="24"/>
        </w:rPr>
        <w:t xml:space="preserve">Доходная часть </w:t>
      </w:r>
      <w:r w:rsidRPr="00E860D5">
        <w:rPr>
          <w:sz w:val="24"/>
          <w:szCs w:val="24"/>
        </w:rPr>
        <w:t>бюджета</w:t>
      </w:r>
      <w:r w:rsidR="00B42AE3" w:rsidRPr="00E860D5">
        <w:rPr>
          <w:sz w:val="24"/>
          <w:szCs w:val="24"/>
        </w:rPr>
        <w:t xml:space="preserve"> муниципального района исполнена на </w:t>
      </w:r>
      <w:r w:rsidRPr="00E860D5">
        <w:rPr>
          <w:sz w:val="24"/>
          <w:szCs w:val="24"/>
        </w:rPr>
        <w:t>9</w:t>
      </w:r>
      <w:r w:rsidR="00B42AE3" w:rsidRPr="00E860D5">
        <w:rPr>
          <w:sz w:val="24"/>
          <w:szCs w:val="24"/>
        </w:rPr>
        <w:t>7,1</w:t>
      </w:r>
      <w:r w:rsidRPr="00E860D5">
        <w:rPr>
          <w:sz w:val="24"/>
          <w:szCs w:val="24"/>
        </w:rPr>
        <w:t xml:space="preserve"> процента к уточненному плану. По сравнению с 201</w:t>
      </w:r>
      <w:r w:rsidR="00B42AE3" w:rsidRPr="00E860D5">
        <w:rPr>
          <w:sz w:val="24"/>
          <w:szCs w:val="24"/>
        </w:rPr>
        <w:t>4</w:t>
      </w:r>
      <w:r w:rsidRPr="00E860D5">
        <w:rPr>
          <w:sz w:val="24"/>
          <w:szCs w:val="24"/>
        </w:rPr>
        <w:t xml:space="preserve"> годом </w:t>
      </w:r>
      <w:r w:rsidR="00B42AE3" w:rsidRPr="00E860D5">
        <w:rPr>
          <w:sz w:val="24"/>
          <w:szCs w:val="24"/>
        </w:rPr>
        <w:t>поступления налоговых доходов возросли</w:t>
      </w:r>
      <w:r w:rsidRPr="00E860D5">
        <w:rPr>
          <w:sz w:val="24"/>
          <w:szCs w:val="24"/>
        </w:rPr>
        <w:t xml:space="preserve"> на </w:t>
      </w:r>
      <w:r w:rsidR="00B42AE3" w:rsidRPr="00E860D5">
        <w:rPr>
          <w:sz w:val="24"/>
          <w:szCs w:val="24"/>
        </w:rPr>
        <w:t>4</w:t>
      </w:r>
      <w:r w:rsidRPr="00E860D5">
        <w:rPr>
          <w:sz w:val="24"/>
          <w:szCs w:val="24"/>
        </w:rPr>
        <w:t>,</w:t>
      </w:r>
      <w:r w:rsidR="00B42AE3" w:rsidRPr="00E860D5">
        <w:rPr>
          <w:sz w:val="24"/>
          <w:szCs w:val="24"/>
        </w:rPr>
        <w:t>7</w:t>
      </w:r>
      <w:r w:rsidRPr="00E860D5">
        <w:rPr>
          <w:sz w:val="24"/>
          <w:szCs w:val="24"/>
        </w:rPr>
        <w:t xml:space="preserve"> процента, неналоговых доходов </w:t>
      </w:r>
      <w:r w:rsidR="00B42AE3" w:rsidRPr="00E860D5">
        <w:rPr>
          <w:sz w:val="24"/>
          <w:szCs w:val="24"/>
        </w:rPr>
        <w:t xml:space="preserve">уменьшились </w:t>
      </w:r>
      <w:r w:rsidRPr="00E860D5">
        <w:rPr>
          <w:sz w:val="24"/>
          <w:szCs w:val="24"/>
        </w:rPr>
        <w:t xml:space="preserve">- на </w:t>
      </w:r>
      <w:r w:rsidR="00B42AE3" w:rsidRPr="00E860D5">
        <w:rPr>
          <w:sz w:val="24"/>
          <w:szCs w:val="24"/>
        </w:rPr>
        <w:t>31,9 процентов</w:t>
      </w:r>
      <w:r w:rsidRPr="00E860D5">
        <w:rPr>
          <w:sz w:val="24"/>
          <w:szCs w:val="24"/>
        </w:rPr>
        <w:t>, безвозмездные пос</w:t>
      </w:r>
      <w:r w:rsidR="00E860D5" w:rsidRPr="00E860D5">
        <w:rPr>
          <w:sz w:val="24"/>
          <w:szCs w:val="24"/>
        </w:rPr>
        <w:t>тупления (поступления из областного бюджета) сократились на 2,0</w:t>
      </w:r>
      <w:r w:rsidRPr="00E860D5">
        <w:rPr>
          <w:sz w:val="24"/>
          <w:szCs w:val="24"/>
        </w:rPr>
        <w:t xml:space="preserve"> процента</w:t>
      </w:r>
      <w:r w:rsidR="00E860D5" w:rsidRPr="00E860D5">
        <w:rPr>
          <w:sz w:val="24"/>
          <w:szCs w:val="24"/>
        </w:rPr>
        <w:t xml:space="preserve">. В структуре доходов </w:t>
      </w:r>
      <w:r w:rsidRPr="00E860D5">
        <w:rPr>
          <w:sz w:val="24"/>
          <w:szCs w:val="24"/>
        </w:rPr>
        <w:t xml:space="preserve"> бюджета </w:t>
      </w:r>
      <w:r w:rsidR="00E860D5" w:rsidRPr="00E860D5">
        <w:rPr>
          <w:sz w:val="24"/>
          <w:szCs w:val="24"/>
        </w:rPr>
        <w:t>муниципального района за 2015</w:t>
      </w:r>
      <w:r w:rsidRPr="00E860D5">
        <w:rPr>
          <w:sz w:val="24"/>
          <w:szCs w:val="24"/>
        </w:rPr>
        <w:t xml:space="preserve"> год удельный вес налоговых и неналоговых доходов в сравнении с 201</w:t>
      </w:r>
      <w:r w:rsidR="00E860D5" w:rsidRPr="00E860D5">
        <w:rPr>
          <w:sz w:val="24"/>
          <w:szCs w:val="24"/>
        </w:rPr>
        <w:t>4</w:t>
      </w:r>
      <w:r w:rsidRPr="00E860D5">
        <w:rPr>
          <w:sz w:val="24"/>
          <w:szCs w:val="24"/>
        </w:rPr>
        <w:t xml:space="preserve"> годом возрос</w:t>
      </w:r>
      <w:r w:rsidRPr="00E860D5">
        <w:rPr>
          <w:i/>
          <w:sz w:val="24"/>
          <w:szCs w:val="24"/>
        </w:rPr>
        <w:t xml:space="preserve"> </w:t>
      </w:r>
      <w:r w:rsidRPr="00E860D5">
        <w:rPr>
          <w:sz w:val="24"/>
          <w:szCs w:val="24"/>
        </w:rPr>
        <w:t xml:space="preserve">с </w:t>
      </w:r>
      <w:r w:rsidR="00E860D5" w:rsidRPr="00E860D5">
        <w:rPr>
          <w:sz w:val="24"/>
          <w:szCs w:val="24"/>
        </w:rPr>
        <w:t>27,3 процента до 28</w:t>
      </w:r>
      <w:r w:rsidRPr="00E860D5">
        <w:rPr>
          <w:sz w:val="24"/>
          <w:szCs w:val="24"/>
        </w:rPr>
        <w:t>,1 процента; удельный вес безвозмездных поступлений сократился</w:t>
      </w:r>
      <w:r w:rsidRPr="00E860D5">
        <w:rPr>
          <w:i/>
          <w:sz w:val="24"/>
          <w:szCs w:val="24"/>
        </w:rPr>
        <w:t xml:space="preserve"> </w:t>
      </w:r>
      <w:r w:rsidR="00E860D5" w:rsidRPr="00E860D5">
        <w:rPr>
          <w:sz w:val="24"/>
          <w:szCs w:val="24"/>
        </w:rPr>
        <w:t xml:space="preserve">с </w:t>
      </w:r>
      <w:r w:rsidRPr="00E860D5">
        <w:rPr>
          <w:sz w:val="24"/>
          <w:szCs w:val="24"/>
        </w:rPr>
        <w:t>7</w:t>
      </w:r>
      <w:r w:rsidR="00E860D5" w:rsidRPr="00E860D5">
        <w:rPr>
          <w:sz w:val="24"/>
          <w:szCs w:val="24"/>
        </w:rPr>
        <w:t>2</w:t>
      </w:r>
      <w:r w:rsidRPr="00E860D5">
        <w:rPr>
          <w:sz w:val="24"/>
          <w:szCs w:val="24"/>
        </w:rPr>
        <w:t>,</w:t>
      </w:r>
      <w:r w:rsidR="00E860D5" w:rsidRPr="00E860D5">
        <w:rPr>
          <w:sz w:val="24"/>
          <w:szCs w:val="24"/>
        </w:rPr>
        <w:t>7</w:t>
      </w:r>
      <w:r w:rsidRPr="00E860D5">
        <w:rPr>
          <w:sz w:val="24"/>
          <w:szCs w:val="24"/>
        </w:rPr>
        <w:t xml:space="preserve"> процент</w:t>
      </w:r>
      <w:r w:rsidR="00E860D5" w:rsidRPr="00E860D5">
        <w:rPr>
          <w:sz w:val="24"/>
          <w:szCs w:val="24"/>
        </w:rPr>
        <w:t>ов до 71,9 процентов</w:t>
      </w:r>
      <w:r w:rsidRPr="00E860D5">
        <w:rPr>
          <w:sz w:val="24"/>
          <w:szCs w:val="24"/>
        </w:rPr>
        <w:t xml:space="preserve">. </w:t>
      </w:r>
    </w:p>
    <w:p w:rsidR="00367423" w:rsidRPr="009B6182" w:rsidRDefault="00FE3F84" w:rsidP="00FE3F84">
      <w:pPr>
        <w:pStyle w:val="11"/>
        <w:numPr>
          <w:ilvl w:val="12"/>
          <w:numId w:val="0"/>
        </w:numPr>
        <w:tabs>
          <w:tab w:val="left" w:pos="540"/>
        </w:tabs>
        <w:ind w:right="-309" w:firstLine="720"/>
        <w:jc w:val="both"/>
        <w:rPr>
          <w:sz w:val="28"/>
          <w:szCs w:val="28"/>
        </w:rPr>
      </w:pPr>
      <w:r w:rsidRPr="00420DE4">
        <w:rPr>
          <w:sz w:val="24"/>
          <w:szCs w:val="24"/>
        </w:rPr>
        <w:t xml:space="preserve">План поступлений </w:t>
      </w:r>
      <w:r w:rsidRPr="00420DE4">
        <w:rPr>
          <w:b/>
          <w:sz w:val="24"/>
          <w:szCs w:val="24"/>
        </w:rPr>
        <w:t>по налоговым доходам</w:t>
      </w:r>
      <w:r w:rsidRPr="00420DE4">
        <w:rPr>
          <w:sz w:val="24"/>
          <w:szCs w:val="24"/>
        </w:rPr>
        <w:t xml:space="preserve"> выполнен на </w:t>
      </w:r>
      <w:r w:rsidR="00763E8F" w:rsidRPr="00420DE4">
        <w:rPr>
          <w:sz w:val="24"/>
          <w:szCs w:val="24"/>
        </w:rPr>
        <w:t>107</w:t>
      </w:r>
      <w:r w:rsidRPr="00420DE4">
        <w:rPr>
          <w:sz w:val="24"/>
          <w:szCs w:val="24"/>
        </w:rPr>
        <w:t>,</w:t>
      </w:r>
      <w:r w:rsidR="00E860D5" w:rsidRPr="00420DE4">
        <w:rPr>
          <w:sz w:val="24"/>
          <w:szCs w:val="24"/>
        </w:rPr>
        <w:t>3</w:t>
      </w:r>
      <w:r w:rsidRPr="00420DE4">
        <w:rPr>
          <w:sz w:val="24"/>
          <w:szCs w:val="24"/>
        </w:rPr>
        <w:t xml:space="preserve"> процента к уточненному плану (перевыполнение составило 2</w:t>
      </w:r>
      <w:r w:rsidR="00763E8F" w:rsidRPr="00420DE4">
        <w:rPr>
          <w:sz w:val="24"/>
          <w:szCs w:val="24"/>
        </w:rPr>
        <w:t> 569,8</w:t>
      </w:r>
      <w:r w:rsidRPr="00420DE4">
        <w:rPr>
          <w:sz w:val="24"/>
          <w:szCs w:val="24"/>
        </w:rPr>
        <w:t xml:space="preserve"> </w:t>
      </w:r>
      <w:r w:rsidR="00E860D5" w:rsidRPr="00420DE4">
        <w:rPr>
          <w:sz w:val="24"/>
          <w:szCs w:val="24"/>
        </w:rPr>
        <w:t>тыс</w:t>
      </w:r>
      <w:r w:rsidRPr="00420DE4">
        <w:rPr>
          <w:sz w:val="24"/>
          <w:szCs w:val="24"/>
        </w:rPr>
        <w:t xml:space="preserve">. </w:t>
      </w:r>
      <w:r w:rsidRPr="009B6182">
        <w:rPr>
          <w:sz w:val="24"/>
          <w:szCs w:val="24"/>
        </w:rPr>
        <w:t>рублей</w:t>
      </w:r>
      <w:r w:rsidRPr="009B6182">
        <w:rPr>
          <w:sz w:val="28"/>
          <w:szCs w:val="28"/>
        </w:rPr>
        <w:t>).</w:t>
      </w:r>
    </w:p>
    <w:p w:rsidR="00367423" w:rsidRDefault="00367423" w:rsidP="00367423">
      <w:pPr>
        <w:pStyle w:val="11"/>
        <w:numPr>
          <w:ilvl w:val="12"/>
          <w:numId w:val="0"/>
        </w:numPr>
        <w:ind w:right="-5" w:firstLine="720"/>
        <w:jc w:val="both"/>
        <w:rPr>
          <w:sz w:val="24"/>
          <w:szCs w:val="24"/>
        </w:rPr>
      </w:pPr>
      <w:r w:rsidRPr="005F60AD">
        <w:rPr>
          <w:sz w:val="24"/>
          <w:szCs w:val="24"/>
        </w:rPr>
        <w:t>Основным</w:t>
      </w:r>
      <w:r>
        <w:rPr>
          <w:sz w:val="24"/>
          <w:szCs w:val="24"/>
        </w:rPr>
        <w:t>и</w:t>
      </w:r>
      <w:r w:rsidRPr="005F60AD">
        <w:rPr>
          <w:sz w:val="24"/>
          <w:szCs w:val="24"/>
        </w:rPr>
        <w:t xml:space="preserve"> доходным</w:t>
      </w:r>
      <w:r>
        <w:rPr>
          <w:sz w:val="24"/>
          <w:szCs w:val="24"/>
        </w:rPr>
        <w:t>и источника</w:t>
      </w:r>
      <w:r w:rsidRPr="005F60AD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5F60AD">
        <w:rPr>
          <w:sz w:val="24"/>
          <w:szCs w:val="24"/>
        </w:rPr>
        <w:t xml:space="preserve">  бюджета муниципального района является</w:t>
      </w:r>
      <w:r>
        <w:rPr>
          <w:sz w:val="24"/>
          <w:szCs w:val="24"/>
        </w:rPr>
        <w:t>:</w:t>
      </w:r>
      <w:r w:rsidRPr="005F60AD">
        <w:rPr>
          <w:sz w:val="24"/>
          <w:szCs w:val="24"/>
        </w:rPr>
        <w:t xml:space="preserve"> </w:t>
      </w:r>
    </w:p>
    <w:p w:rsidR="00367423" w:rsidRPr="005F60AD" w:rsidRDefault="00367423" w:rsidP="00367423">
      <w:pPr>
        <w:pStyle w:val="11"/>
        <w:numPr>
          <w:ilvl w:val="12"/>
          <w:numId w:val="0"/>
        </w:numPr>
        <w:ind w:right="-5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5F60AD">
        <w:rPr>
          <w:sz w:val="24"/>
          <w:szCs w:val="24"/>
        </w:rPr>
        <w:t xml:space="preserve">налог на доходы физических лиц –  </w:t>
      </w:r>
      <w:r>
        <w:rPr>
          <w:sz w:val="24"/>
          <w:szCs w:val="24"/>
        </w:rPr>
        <w:t>81,</w:t>
      </w:r>
      <w:r w:rsidRPr="00785E9D">
        <w:rPr>
          <w:sz w:val="24"/>
          <w:szCs w:val="24"/>
        </w:rPr>
        <w:t xml:space="preserve">4 процента в общей собственных налогов и  налоговых доходов и налог на товары (работы, услуги), реализуемые на территории РФ </w:t>
      </w:r>
      <w:r w:rsidR="009B6182">
        <w:rPr>
          <w:sz w:val="24"/>
          <w:szCs w:val="24"/>
        </w:rPr>
        <w:t>–</w:t>
      </w:r>
      <w:r w:rsidRPr="00785E9D">
        <w:rPr>
          <w:sz w:val="24"/>
          <w:szCs w:val="24"/>
        </w:rPr>
        <w:t xml:space="preserve"> </w:t>
      </w:r>
      <w:r w:rsidR="009B6182">
        <w:rPr>
          <w:sz w:val="24"/>
          <w:szCs w:val="24"/>
        </w:rPr>
        <w:t>13,4</w:t>
      </w:r>
      <w:r w:rsidRPr="00785E9D">
        <w:rPr>
          <w:sz w:val="24"/>
          <w:szCs w:val="24"/>
        </w:rPr>
        <w:t xml:space="preserve"> процента в общей собственных налогов</w:t>
      </w:r>
      <w:r w:rsidRPr="00763F8F">
        <w:rPr>
          <w:sz w:val="24"/>
          <w:szCs w:val="24"/>
        </w:rPr>
        <w:t>.</w:t>
      </w:r>
      <w:proofErr w:type="gramEnd"/>
      <w:r w:rsidRPr="00763F8F">
        <w:rPr>
          <w:sz w:val="24"/>
          <w:szCs w:val="24"/>
        </w:rPr>
        <w:t xml:space="preserve"> В совокупности они составляют  96,</w:t>
      </w:r>
      <w:r w:rsidR="009B6182">
        <w:rPr>
          <w:sz w:val="24"/>
          <w:szCs w:val="24"/>
        </w:rPr>
        <w:t>8</w:t>
      </w:r>
      <w:r w:rsidRPr="00763F8F">
        <w:rPr>
          <w:sz w:val="24"/>
          <w:szCs w:val="24"/>
        </w:rPr>
        <w:t xml:space="preserve"> процента, остальные налоги – 3,</w:t>
      </w:r>
      <w:r w:rsidR="009B6182">
        <w:rPr>
          <w:sz w:val="24"/>
          <w:szCs w:val="24"/>
        </w:rPr>
        <w:t>2</w:t>
      </w:r>
      <w:r w:rsidRPr="00763F8F">
        <w:rPr>
          <w:sz w:val="24"/>
          <w:szCs w:val="24"/>
        </w:rPr>
        <w:t xml:space="preserve"> процент</w:t>
      </w:r>
      <w:r w:rsidR="009B6182">
        <w:rPr>
          <w:sz w:val="24"/>
          <w:szCs w:val="24"/>
        </w:rPr>
        <w:t>а</w:t>
      </w:r>
      <w:r w:rsidRPr="00763F8F">
        <w:rPr>
          <w:i/>
          <w:sz w:val="24"/>
          <w:szCs w:val="24"/>
        </w:rPr>
        <w:t>.</w:t>
      </w:r>
    </w:p>
    <w:p w:rsidR="00FE3F84" w:rsidRPr="009B6182" w:rsidRDefault="00FE3F84" w:rsidP="00FE3F84">
      <w:pPr>
        <w:pStyle w:val="11"/>
        <w:numPr>
          <w:ilvl w:val="12"/>
          <w:numId w:val="0"/>
        </w:numPr>
        <w:tabs>
          <w:tab w:val="left" w:pos="540"/>
        </w:tabs>
        <w:ind w:right="-309" w:firstLine="720"/>
        <w:jc w:val="both"/>
        <w:rPr>
          <w:sz w:val="24"/>
          <w:szCs w:val="24"/>
        </w:rPr>
      </w:pPr>
      <w:r w:rsidRPr="009B6182">
        <w:rPr>
          <w:sz w:val="24"/>
          <w:szCs w:val="24"/>
        </w:rPr>
        <w:lastRenderedPageBreak/>
        <w:t>Рост поступлений налог</w:t>
      </w:r>
      <w:r w:rsidR="009B6182" w:rsidRPr="009B6182">
        <w:rPr>
          <w:sz w:val="24"/>
          <w:szCs w:val="24"/>
        </w:rPr>
        <w:t>овых доходов</w:t>
      </w:r>
      <w:r w:rsidR="009B6182">
        <w:rPr>
          <w:sz w:val="24"/>
          <w:szCs w:val="24"/>
        </w:rPr>
        <w:t xml:space="preserve"> в бюджет </w:t>
      </w:r>
      <w:proofErr w:type="gramStart"/>
      <w:r w:rsidR="009B6182">
        <w:rPr>
          <w:sz w:val="24"/>
          <w:szCs w:val="24"/>
        </w:rPr>
        <w:t>муниципального</w:t>
      </w:r>
      <w:proofErr w:type="gramEnd"/>
      <w:r w:rsidR="009B6182">
        <w:rPr>
          <w:sz w:val="24"/>
          <w:szCs w:val="24"/>
        </w:rPr>
        <w:t xml:space="preserve"> район объясняется</w:t>
      </w:r>
      <w:r w:rsidR="009B6182" w:rsidRPr="009B6182">
        <w:rPr>
          <w:sz w:val="24"/>
          <w:szCs w:val="24"/>
        </w:rPr>
        <w:t xml:space="preserve"> </w:t>
      </w:r>
      <w:r w:rsidR="009B6182">
        <w:rPr>
          <w:sz w:val="24"/>
          <w:szCs w:val="24"/>
        </w:rPr>
        <w:t xml:space="preserve"> с</w:t>
      </w:r>
      <w:r w:rsidR="009B6182" w:rsidRPr="009B6182">
        <w:rPr>
          <w:sz w:val="24"/>
          <w:szCs w:val="24"/>
        </w:rPr>
        <w:t xml:space="preserve"> </w:t>
      </w:r>
      <w:r w:rsidRPr="009B6182">
        <w:rPr>
          <w:sz w:val="24"/>
          <w:szCs w:val="24"/>
        </w:rPr>
        <w:t xml:space="preserve"> поступлени</w:t>
      </w:r>
      <w:r w:rsidR="009B6182">
        <w:rPr>
          <w:sz w:val="24"/>
          <w:szCs w:val="24"/>
        </w:rPr>
        <w:t xml:space="preserve">ями акцизов на </w:t>
      </w:r>
      <w:r w:rsidRPr="009B6182">
        <w:rPr>
          <w:sz w:val="24"/>
          <w:szCs w:val="24"/>
        </w:rPr>
        <w:t>нефтепродукты в местные бюджеты (в связи с изменениями, внесенными в Бюджетный кодекс Российской Федерации).</w:t>
      </w:r>
    </w:p>
    <w:p w:rsidR="00FE3F84" w:rsidRPr="00763E8F" w:rsidRDefault="00FE3F84" w:rsidP="00FE3F84">
      <w:pPr>
        <w:ind w:right="-309"/>
        <w:jc w:val="both"/>
      </w:pPr>
      <w:r>
        <w:rPr>
          <w:sz w:val="28"/>
          <w:szCs w:val="28"/>
        </w:rPr>
        <w:tab/>
      </w:r>
      <w:r w:rsidRPr="00763E8F">
        <w:t>План поступлений</w:t>
      </w:r>
      <w:r w:rsidRPr="00763E8F">
        <w:rPr>
          <w:b/>
        </w:rPr>
        <w:t xml:space="preserve"> по неналоговым доходам</w:t>
      </w:r>
      <w:r w:rsidRPr="00763E8F">
        <w:t xml:space="preserve"> выполнен на 5</w:t>
      </w:r>
      <w:r w:rsidR="00763E8F" w:rsidRPr="00763E8F">
        <w:t>0,7</w:t>
      </w:r>
      <w:r w:rsidRPr="00763E8F">
        <w:t xml:space="preserve"> процент</w:t>
      </w:r>
      <w:r w:rsidR="00763E8F" w:rsidRPr="00763E8F">
        <w:t>ов</w:t>
      </w:r>
      <w:r w:rsidRPr="00763E8F">
        <w:t xml:space="preserve"> к уточненному плану. Удельный вес неналоговых доходов в общей сумме налоговых и неналоговых доходов сократился с </w:t>
      </w:r>
      <w:r w:rsidR="00763E8F" w:rsidRPr="00763E8F">
        <w:t>2,2 процента до 1,5</w:t>
      </w:r>
      <w:r w:rsidRPr="00763E8F">
        <w:t xml:space="preserve"> процента.</w:t>
      </w:r>
    </w:p>
    <w:p w:rsidR="00FE3F84" w:rsidRPr="00763E8F" w:rsidRDefault="00FE3F84" w:rsidP="00FE3F84">
      <w:pPr>
        <w:ind w:right="-309"/>
        <w:jc w:val="both"/>
      </w:pPr>
      <w:r>
        <w:rPr>
          <w:sz w:val="28"/>
          <w:szCs w:val="28"/>
        </w:rPr>
        <w:tab/>
      </w:r>
      <w:r w:rsidRPr="00763E8F">
        <w:t xml:space="preserve">План по </w:t>
      </w:r>
      <w:r w:rsidRPr="00763E8F">
        <w:rPr>
          <w:b/>
        </w:rPr>
        <w:t>безвозмездным поступлениям</w:t>
      </w:r>
      <w:r w:rsidRPr="00763E8F">
        <w:t xml:space="preserve"> выполнен на 9</w:t>
      </w:r>
      <w:r w:rsidR="00763E8F" w:rsidRPr="00763E8F">
        <w:t>5,5 процентов, дотации  из област</w:t>
      </w:r>
      <w:r w:rsidRPr="00763E8F">
        <w:t xml:space="preserve">ного бюджета  поступили в полном объеме, остальные межбюджетные трансферты поступили в объеме меньше плановых назначений: субвенции - на </w:t>
      </w:r>
      <w:r w:rsidR="00763E8F" w:rsidRPr="00763E8F">
        <w:t>3 822,6</w:t>
      </w:r>
      <w:r w:rsidRPr="00763E8F">
        <w:t xml:space="preserve"> рублей (9</w:t>
      </w:r>
      <w:r w:rsidR="00763E8F" w:rsidRPr="00763E8F">
        <w:t>4</w:t>
      </w:r>
      <w:r w:rsidRPr="00763E8F">
        <w:t xml:space="preserve">,2 процента от плановых назначений), </w:t>
      </w:r>
      <w:r w:rsidR="00763E8F" w:rsidRPr="00763E8F">
        <w:t>субсидии - на 987,6 тыс. рублей (8</w:t>
      </w:r>
      <w:r w:rsidRPr="00763E8F">
        <w:t>9</w:t>
      </w:r>
      <w:r w:rsidR="00763E8F" w:rsidRPr="00763E8F">
        <w:t>,1</w:t>
      </w:r>
      <w:r w:rsidRPr="00763E8F">
        <w:t xml:space="preserve"> процента от плановых назначений), иные межбюджетные трансферты </w:t>
      </w:r>
      <w:r w:rsidR="00763E8F" w:rsidRPr="00763E8F">
        <w:t>–</w:t>
      </w:r>
      <w:r w:rsidRPr="00763E8F">
        <w:t xml:space="preserve"> </w:t>
      </w:r>
      <w:r w:rsidR="00763E8F" w:rsidRPr="00763E8F">
        <w:t>поступили полностью</w:t>
      </w:r>
      <w:r w:rsidRPr="00763E8F">
        <w:t>.</w:t>
      </w:r>
    </w:p>
    <w:p w:rsidR="00FE3F84" w:rsidRPr="00FA5607" w:rsidRDefault="00FE3F84" w:rsidP="00FE3F84">
      <w:pPr>
        <w:ind w:right="-309"/>
        <w:jc w:val="both"/>
      </w:pPr>
      <w:r>
        <w:rPr>
          <w:sz w:val="28"/>
          <w:szCs w:val="28"/>
        </w:rPr>
        <w:tab/>
      </w:r>
      <w:r w:rsidRPr="00FA5607">
        <w:t>По сравнению с 201</w:t>
      </w:r>
      <w:r w:rsidR="00763E8F" w:rsidRPr="00FA5607">
        <w:t>4 годом поступления из областног</w:t>
      </w:r>
      <w:r w:rsidRPr="00FA5607">
        <w:t>о бюджета сократились на 830,5 млн. рублей, в том числе за счет сокращения объемов:</w:t>
      </w:r>
      <w:r w:rsidRPr="00FA5607">
        <w:rPr>
          <w:b/>
          <w:i/>
        </w:rPr>
        <w:t xml:space="preserve"> </w:t>
      </w:r>
      <w:r w:rsidRPr="00FA5607">
        <w:t xml:space="preserve"> </w:t>
      </w:r>
      <w:r w:rsidR="00FA5607" w:rsidRPr="00FA5607">
        <w:t xml:space="preserve"> дотаций</w:t>
      </w:r>
      <w:r w:rsidRPr="00FA5607">
        <w:tab/>
      </w:r>
      <w:r w:rsidR="00FA5607" w:rsidRPr="00FA5607">
        <w:t xml:space="preserve">9 861,4 тыс. рублей, </w:t>
      </w:r>
      <w:r w:rsidRPr="00FA5607">
        <w:t xml:space="preserve">субвенций на выполнение полномочий Российской Федерации </w:t>
      </w:r>
      <w:r w:rsidR="00FA5607" w:rsidRPr="00FA5607">
        <w:t>–</w:t>
      </w:r>
      <w:r w:rsidRPr="00FA5607">
        <w:t xml:space="preserve"> на</w:t>
      </w:r>
      <w:r w:rsidR="00FA5607" w:rsidRPr="00FA5607">
        <w:t xml:space="preserve"> 2 765,2 тыс</w:t>
      </w:r>
      <w:proofErr w:type="gramStart"/>
      <w:r w:rsidR="00FA5607" w:rsidRPr="00FA5607">
        <w:t>.</w:t>
      </w:r>
      <w:r w:rsidRPr="00FA5607">
        <w:t>р</w:t>
      </w:r>
      <w:proofErr w:type="gramEnd"/>
      <w:r w:rsidRPr="00FA5607">
        <w:t>убле</w:t>
      </w:r>
      <w:r w:rsidR="00FA5607" w:rsidRPr="00FA5607">
        <w:t>й.</w:t>
      </w:r>
      <w:r w:rsidR="009B6182">
        <w:t xml:space="preserve"> </w:t>
      </w:r>
      <w:r w:rsidRPr="00FA5607">
        <w:t>Объем</w:t>
      </w:r>
      <w:r w:rsidR="00FA5607" w:rsidRPr="00FA5607">
        <w:t xml:space="preserve"> субсидий</w:t>
      </w:r>
      <w:r w:rsidRPr="00FA5607">
        <w:t xml:space="preserve"> </w:t>
      </w:r>
      <w:r w:rsidR="00FA5607" w:rsidRPr="00FA5607">
        <w:t xml:space="preserve"> ув</w:t>
      </w:r>
      <w:r w:rsidRPr="00FA5607">
        <w:t xml:space="preserve">еличился на </w:t>
      </w:r>
      <w:r w:rsidR="00FA5607" w:rsidRPr="00FA5607">
        <w:t>6 092,0 тыс</w:t>
      </w:r>
      <w:proofErr w:type="gramStart"/>
      <w:r w:rsidRPr="00FA5607">
        <w:t>.р</w:t>
      </w:r>
      <w:proofErr w:type="gramEnd"/>
      <w:r w:rsidRPr="00FA5607">
        <w:t xml:space="preserve">ублей,  иных межбюджетных трансфертов - на </w:t>
      </w:r>
      <w:r w:rsidR="00FA5607" w:rsidRPr="00FA5607">
        <w:t>4 258,5 тыс.</w:t>
      </w:r>
      <w:r w:rsidRPr="00FA5607">
        <w:t xml:space="preserve"> рублей.</w:t>
      </w:r>
    </w:p>
    <w:p w:rsidR="00FE3F84" w:rsidRPr="00FA5607" w:rsidRDefault="00FA5607" w:rsidP="00FE3F84">
      <w:pPr>
        <w:ind w:right="-309"/>
        <w:jc w:val="both"/>
      </w:pPr>
      <w:r w:rsidRPr="00FA5607">
        <w:tab/>
        <w:t>Поступления от возврата бюджето</w:t>
      </w:r>
      <w:r w:rsidR="00FE3F84" w:rsidRPr="00FA5607">
        <w:t>м</w:t>
      </w:r>
      <w:r w:rsidRPr="00FA5607">
        <w:t xml:space="preserve"> муниципального</w:t>
      </w:r>
      <w:r w:rsidR="00FE3F84" w:rsidRPr="00FA5607">
        <w:t xml:space="preserve"> </w:t>
      </w:r>
      <w:r w:rsidRPr="00FA5607">
        <w:t xml:space="preserve">района </w:t>
      </w:r>
      <w:r w:rsidR="00FE3F84" w:rsidRPr="00FA5607">
        <w:t xml:space="preserve">остатков субсидий, субвенций и иных межбюджетных трансфертов, имеющих целевое назначение, прошлых лет составили </w:t>
      </w:r>
      <w:r w:rsidRPr="00FA5607">
        <w:t xml:space="preserve"> 8,0 тыс</w:t>
      </w:r>
      <w:proofErr w:type="gramStart"/>
      <w:r w:rsidRPr="00FA5607">
        <w:t>.</w:t>
      </w:r>
      <w:r w:rsidR="00FE3F84" w:rsidRPr="00FA5607">
        <w:t>р</w:t>
      </w:r>
      <w:proofErr w:type="gramEnd"/>
      <w:r w:rsidR="00FE3F84" w:rsidRPr="00FA5607">
        <w:t xml:space="preserve">ублей. Общий объем возвращенных в доход </w:t>
      </w:r>
      <w:r w:rsidRPr="00FA5607">
        <w:t>областного</w:t>
      </w:r>
      <w:r w:rsidR="00FE3F84" w:rsidRPr="00FA5607">
        <w:t xml:space="preserve"> бюджета остатков межбюджетных трансфер</w:t>
      </w:r>
      <w:r w:rsidRPr="00FA5607">
        <w:t>тов прошлых лет составил  30,6 тыс.</w:t>
      </w:r>
      <w:r w:rsidR="00FE3F84" w:rsidRPr="00FA5607">
        <w:t xml:space="preserve"> рублей.</w:t>
      </w:r>
    </w:p>
    <w:p w:rsidR="00FE3F84" w:rsidRDefault="00FE3F84" w:rsidP="00FE3F84">
      <w:pPr>
        <w:ind w:right="-309" w:firstLine="709"/>
        <w:jc w:val="both"/>
      </w:pPr>
      <w:r w:rsidRPr="00CD6581">
        <w:t xml:space="preserve">Изменилась структура безвозмездных поступлений: возрос удельный вес </w:t>
      </w:r>
      <w:r w:rsidR="00CD6581" w:rsidRPr="00CD6581">
        <w:t>субсидий (с 1,9 процентов до 7,8 процентов)</w:t>
      </w:r>
      <w:r w:rsidRPr="00CD6581">
        <w:t xml:space="preserve"> и иных межбюджетных трансфертов </w:t>
      </w:r>
      <w:r w:rsidR="00CD6581" w:rsidRPr="00CD6581">
        <w:t xml:space="preserve"> </w:t>
      </w:r>
      <w:r w:rsidRPr="00CD6581">
        <w:t xml:space="preserve">(с </w:t>
      </w:r>
      <w:r w:rsidR="00CD6581" w:rsidRPr="00CD6581">
        <w:t>1,</w:t>
      </w:r>
      <w:r w:rsidRPr="00CD6581">
        <w:t xml:space="preserve">2 процента до </w:t>
      </w:r>
      <w:r w:rsidR="00CD6581" w:rsidRPr="00CD6581">
        <w:t xml:space="preserve">5,4 </w:t>
      </w:r>
      <w:r w:rsidRPr="00CD6581">
        <w:t xml:space="preserve">процента); сократился удельный вес </w:t>
      </w:r>
      <w:r w:rsidR="00CD6581" w:rsidRPr="00CD6581">
        <w:t>дотаций (с 34,5 процентов до 25,7 процентов), субвенций (с 62,4 процентов до 61,1 процента).</w:t>
      </w:r>
    </w:p>
    <w:p w:rsidR="0095044B" w:rsidRPr="00CD6581" w:rsidRDefault="0095044B" w:rsidP="00FE3F84">
      <w:pPr>
        <w:ind w:right="-309" w:firstLine="709"/>
        <w:jc w:val="both"/>
      </w:pPr>
    </w:p>
    <w:p w:rsidR="00FE3F84" w:rsidRDefault="00FE3F84" w:rsidP="00FE3F84">
      <w:pPr>
        <w:ind w:right="-309"/>
        <w:jc w:val="both"/>
      </w:pPr>
      <w:r>
        <w:rPr>
          <w:sz w:val="28"/>
          <w:szCs w:val="28"/>
        </w:rPr>
        <w:tab/>
      </w:r>
      <w:r w:rsidRPr="00D12BC5">
        <w:t xml:space="preserve">В соответствии с требованиями бюджетного законодательства и в целях подготовки заключения </w:t>
      </w:r>
      <w:r w:rsidR="00CD6581" w:rsidRPr="00D12BC5">
        <w:t>Контрольно-счетной П</w:t>
      </w:r>
      <w:r w:rsidRPr="00D12BC5">
        <w:t>алатой проведена внешняя прове</w:t>
      </w:r>
      <w:r w:rsidR="00CD6581" w:rsidRPr="00D12BC5">
        <w:t>рка бюджетной отчетности за 2015</w:t>
      </w:r>
      <w:r w:rsidRPr="00D12BC5">
        <w:t xml:space="preserve"> год </w:t>
      </w:r>
      <w:r w:rsidR="006C38D8" w:rsidRPr="006C38D8">
        <w:rPr>
          <w:b/>
        </w:rPr>
        <w:t>по двум</w:t>
      </w:r>
      <w:r w:rsidRPr="006C38D8">
        <w:rPr>
          <w:b/>
        </w:rPr>
        <w:t xml:space="preserve"> главны</w:t>
      </w:r>
      <w:r w:rsidR="006C38D8" w:rsidRPr="006C38D8">
        <w:rPr>
          <w:b/>
        </w:rPr>
        <w:t>м администраторам</w:t>
      </w:r>
      <w:r w:rsidRPr="006C38D8">
        <w:rPr>
          <w:b/>
        </w:rPr>
        <w:t xml:space="preserve"> доходов  бюджета</w:t>
      </w:r>
      <w:r w:rsidR="00CD6581" w:rsidRPr="006C38D8">
        <w:rPr>
          <w:b/>
        </w:rPr>
        <w:t xml:space="preserve"> муниципального района</w:t>
      </w:r>
      <w:r w:rsidRPr="006C38D8">
        <w:rPr>
          <w:b/>
        </w:rPr>
        <w:t>:</w:t>
      </w:r>
      <w:r w:rsidRPr="00D12BC5">
        <w:t xml:space="preserve"> </w:t>
      </w:r>
      <w:r w:rsidR="00CD6581" w:rsidRPr="00D12BC5">
        <w:t xml:space="preserve">Комитет по экономике и управлению муниципальным имуществом Администрации </w:t>
      </w:r>
      <w:proofErr w:type="spellStart"/>
      <w:r w:rsidR="00CD6581" w:rsidRPr="00D12BC5">
        <w:t>Поддорского</w:t>
      </w:r>
      <w:proofErr w:type="spellEnd"/>
      <w:r w:rsidR="00CD6581" w:rsidRPr="00D12BC5">
        <w:t xml:space="preserve"> муниципального района</w:t>
      </w:r>
      <w:r w:rsidRPr="00D12BC5">
        <w:t xml:space="preserve"> (далее </w:t>
      </w:r>
      <w:r w:rsidR="00CD6581" w:rsidRPr="00D12BC5">
        <w:t>–</w:t>
      </w:r>
      <w:r w:rsidRPr="00D12BC5">
        <w:t xml:space="preserve"> </w:t>
      </w:r>
      <w:r w:rsidR="00CD6581" w:rsidRPr="00D12BC5">
        <w:t>комитет по экономике</w:t>
      </w:r>
      <w:r w:rsidRPr="00D12BC5">
        <w:t xml:space="preserve">); </w:t>
      </w:r>
      <w:r w:rsidR="00CD6581" w:rsidRPr="00D12BC5">
        <w:t xml:space="preserve">Администрации </w:t>
      </w:r>
      <w:proofErr w:type="spellStart"/>
      <w:r w:rsidR="00CD6581" w:rsidRPr="00D12BC5">
        <w:t>Поддорского</w:t>
      </w:r>
      <w:proofErr w:type="spellEnd"/>
      <w:r w:rsidR="00CD6581" w:rsidRPr="00D12BC5">
        <w:t xml:space="preserve"> муниципального района</w:t>
      </w:r>
      <w:r w:rsidRPr="00D12BC5">
        <w:t xml:space="preserve"> (далее - </w:t>
      </w:r>
      <w:r w:rsidR="00CD6581" w:rsidRPr="00D12BC5">
        <w:t>Админи</w:t>
      </w:r>
      <w:r w:rsidR="00837FDD">
        <w:t>ст</w:t>
      </w:r>
      <w:r w:rsidR="00CD6581" w:rsidRPr="00D12BC5">
        <w:t>рация</w:t>
      </w:r>
      <w:r w:rsidRPr="00D12BC5">
        <w:t>).</w:t>
      </w:r>
    </w:p>
    <w:p w:rsidR="00837FDD" w:rsidRPr="00D12BC5" w:rsidRDefault="00837FDD" w:rsidP="00FE3F84">
      <w:pPr>
        <w:ind w:right="-309"/>
        <w:jc w:val="both"/>
      </w:pPr>
    </w:p>
    <w:p w:rsidR="00FE3F84" w:rsidRPr="00825D3F" w:rsidRDefault="00FE3F84" w:rsidP="00FE3F84">
      <w:pPr>
        <w:ind w:right="-309"/>
        <w:jc w:val="both"/>
      </w:pPr>
      <w:r w:rsidRPr="00D12BC5">
        <w:rPr>
          <w:sz w:val="28"/>
          <w:szCs w:val="28"/>
        </w:rPr>
        <w:tab/>
      </w:r>
      <w:r w:rsidRPr="00825D3F">
        <w:t>В ходе внешней</w:t>
      </w:r>
      <w:r w:rsidR="00837FDD" w:rsidRPr="00825D3F">
        <w:t xml:space="preserve"> проверки установлено следующее:</w:t>
      </w:r>
    </w:p>
    <w:p w:rsidR="00837FDD" w:rsidRPr="005F60AD" w:rsidRDefault="00837FDD" w:rsidP="00837FDD">
      <w:pPr>
        <w:jc w:val="both"/>
      </w:pPr>
      <w:r w:rsidRPr="005F60AD">
        <w:t>Анализ поступления неналоговых доходов в бюджет муниципального района за 201</w:t>
      </w:r>
      <w:r>
        <w:t>5</w:t>
      </w:r>
      <w:r w:rsidRPr="005F60AD">
        <w:t xml:space="preserve"> год показал следующие показатели:</w:t>
      </w:r>
    </w:p>
    <w:p w:rsidR="00837FDD" w:rsidRPr="005F60AD" w:rsidRDefault="00837FDD" w:rsidP="00837FDD">
      <w:pPr>
        <w:pStyle w:val="af2"/>
        <w:numPr>
          <w:ilvl w:val="1"/>
          <w:numId w:val="5"/>
        </w:numPr>
        <w:tabs>
          <w:tab w:val="clear" w:pos="1440"/>
          <w:tab w:val="num" w:pos="0"/>
          <w:tab w:val="left" w:pos="1080"/>
        </w:tabs>
        <w:spacing w:after="0"/>
        <w:ind w:left="0" w:firstLine="709"/>
        <w:jc w:val="both"/>
      </w:pPr>
      <w:r w:rsidRPr="005F60AD">
        <w:rPr>
          <w:b/>
        </w:rPr>
        <w:t xml:space="preserve">Доходы от использования имущества, находящегося в государственной и муниципальной собственности: </w:t>
      </w:r>
      <w:r w:rsidRPr="005F60AD">
        <w:rPr>
          <w:bCs/>
        </w:rPr>
        <w:t xml:space="preserve">при плане  </w:t>
      </w:r>
      <w:r>
        <w:rPr>
          <w:bCs/>
        </w:rPr>
        <w:t>374,5</w:t>
      </w:r>
      <w:r w:rsidRPr="005F60AD">
        <w:rPr>
          <w:bCs/>
        </w:rPr>
        <w:t xml:space="preserve"> </w:t>
      </w:r>
      <w:r w:rsidRPr="005F60AD">
        <w:t xml:space="preserve">тыс. рублей </w:t>
      </w:r>
      <w:r w:rsidRPr="005F60AD">
        <w:rPr>
          <w:bCs/>
        </w:rPr>
        <w:t>исполнение   составило 4</w:t>
      </w:r>
      <w:r>
        <w:rPr>
          <w:bCs/>
        </w:rPr>
        <w:t>0</w:t>
      </w:r>
      <w:r w:rsidRPr="005F60AD">
        <w:rPr>
          <w:bCs/>
        </w:rPr>
        <w:t>8,</w:t>
      </w:r>
      <w:r>
        <w:rPr>
          <w:bCs/>
        </w:rPr>
        <w:t>7</w:t>
      </w:r>
      <w:r w:rsidRPr="005F60AD">
        <w:rPr>
          <w:b/>
          <w:bCs/>
        </w:rPr>
        <w:t xml:space="preserve"> </w:t>
      </w:r>
      <w:r w:rsidRPr="005F60AD">
        <w:rPr>
          <w:b/>
          <w:bCs/>
          <w:i/>
        </w:rPr>
        <w:t>тыс.</w:t>
      </w:r>
      <w:r w:rsidRPr="005F60AD">
        <w:rPr>
          <w:b/>
          <w:i/>
        </w:rPr>
        <w:t xml:space="preserve"> рублей</w:t>
      </w:r>
      <w:r w:rsidRPr="005F60AD">
        <w:rPr>
          <w:bCs/>
        </w:rPr>
        <w:t xml:space="preserve"> (109,</w:t>
      </w:r>
      <w:r>
        <w:rPr>
          <w:bCs/>
        </w:rPr>
        <w:t>1</w:t>
      </w:r>
      <w:r w:rsidRPr="005F60AD">
        <w:rPr>
          <w:bCs/>
        </w:rPr>
        <w:t xml:space="preserve"> %). </w:t>
      </w:r>
      <w:r w:rsidRPr="005F60AD">
        <w:t>По сравнению с предшествующим  периодом   отмечено снижение  по  данному  ви</w:t>
      </w:r>
      <w:r>
        <w:t>ду  доходов 39,4</w:t>
      </w:r>
      <w:r w:rsidRPr="005F60AD">
        <w:t xml:space="preserve"> тыс. рублей.</w:t>
      </w:r>
    </w:p>
    <w:p w:rsidR="00837FDD" w:rsidRPr="00825D3F" w:rsidRDefault="00837FDD" w:rsidP="00837FDD">
      <w:pPr>
        <w:pStyle w:val="af2"/>
        <w:tabs>
          <w:tab w:val="left" w:pos="1080"/>
        </w:tabs>
        <w:spacing w:after="0"/>
        <w:jc w:val="both"/>
        <w:rPr>
          <w:rStyle w:val="FontStyle19"/>
          <w:b/>
          <w:sz w:val="24"/>
          <w:szCs w:val="24"/>
        </w:rPr>
      </w:pPr>
      <w:r w:rsidRPr="005F60AD">
        <w:rPr>
          <w:b/>
        </w:rPr>
        <w:t xml:space="preserve">             </w:t>
      </w:r>
      <w:proofErr w:type="gramStart"/>
      <w:r w:rsidRPr="005F60AD">
        <w:rPr>
          <w:b/>
        </w:rPr>
        <w:t>Доходы, полученные в виде арендной платы за земельные участки</w:t>
      </w:r>
      <w:r w:rsidRPr="005F60AD">
        <w:t xml:space="preserve">  составили</w:t>
      </w:r>
      <w:proofErr w:type="gramEnd"/>
      <w:r w:rsidRPr="005F60AD">
        <w:t xml:space="preserve"> 4</w:t>
      </w:r>
      <w:r>
        <w:t>04</w:t>
      </w:r>
      <w:r w:rsidRPr="005F60AD">
        <w:t>,</w:t>
      </w:r>
      <w:r>
        <w:t>7 тыс. рублей при плане 370</w:t>
      </w:r>
      <w:r w:rsidRPr="005F60AD">
        <w:t>,</w:t>
      </w:r>
      <w:r>
        <w:t>5</w:t>
      </w:r>
      <w:r w:rsidRPr="005F60AD">
        <w:t xml:space="preserve"> тыс. руб</w:t>
      </w:r>
      <w:r>
        <w:t>лей или выполнение составило 109</w:t>
      </w:r>
      <w:r w:rsidRPr="005F60AD">
        <w:t>,</w:t>
      </w:r>
      <w:r>
        <w:t>2</w:t>
      </w:r>
      <w:r w:rsidRPr="005F60AD">
        <w:t xml:space="preserve"> процентов, в том числе: Сумма недоимки </w:t>
      </w:r>
      <w:proofErr w:type="gramStart"/>
      <w:r w:rsidRPr="005F60AD">
        <w:t>по  доходам от арендной платы за земельные участки в бюджет района по состоянию</w:t>
      </w:r>
      <w:proofErr w:type="gramEnd"/>
      <w:r w:rsidRPr="005F60AD">
        <w:t xml:space="preserve"> на 01.01</w:t>
      </w:r>
      <w:r w:rsidRPr="00825D3F">
        <w:t xml:space="preserve">.2015 года   </w:t>
      </w:r>
      <w:r w:rsidRPr="00825D3F">
        <w:rPr>
          <w:rStyle w:val="FontStyle19"/>
          <w:sz w:val="24"/>
          <w:szCs w:val="24"/>
        </w:rPr>
        <w:t xml:space="preserve"> в бюджет муниципального района </w:t>
      </w:r>
      <w:r w:rsidRPr="00825D3F">
        <w:rPr>
          <w:rStyle w:val="FontStyle19"/>
          <w:b/>
          <w:sz w:val="24"/>
          <w:szCs w:val="24"/>
        </w:rPr>
        <w:t>составила в сумме 334 562 руб.88 коп.</w:t>
      </w:r>
    </w:p>
    <w:p w:rsidR="0018130F" w:rsidRDefault="00837FDD" w:rsidP="0018130F">
      <w:pPr>
        <w:jc w:val="both"/>
      </w:pPr>
      <w:r w:rsidRPr="00A8638B">
        <w:t xml:space="preserve">           </w:t>
      </w:r>
      <w:r w:rsidRPr="004A21B1">
        <w:rPr>
          <w:b/>
        </w:rPr>
        <w:t xml:space="preserve">Доходы от сдачи в аренду имущества </w:t>
      </w:r>
      <w:r w:rsidRPr="004A21B1">
        <w:t>при плановых показателях 4,0 тыс. рублей поступили в бюджет муниципального района в сумме 4,0 тыс. рублей,</w:t>
      </w:r>
      <w:r w:rsidRPr="004A21B1">
        <w:rPr>
          <w:b/>
        </w:rPr>
        <w:t xml:space="preserve"> </w:t>
      </w:r>
      <w:r w:rsidRPr="004A21B1">
        <w:rPr>
          <w:b/>
          <w:bCs/>
        </w:rPr>
        <w:t>поступила полностью</w:t>
      </w:r>
      <w:r w:rsidRPr="004A21B1">
        <w:rPr>
          <w:bCs/>
        </w:rPr>
        <w:t>.</w:t>
      </w:r>
      <w:r w:rsidRPr="004A21B1">
        <w:t xml:space="preserve"> </w:t>
      </w:r>
    </w:p>
    <w:p w:rsidR="00837FDD" w:rsidRPr="005F60AD" w:rsidRDefault="0018130F" w:rsidP="0018130F">
      <w:pPr>
        <w:jc w:val="both"/>
      </w:pPr>
      <w:r>
        <w:rPr>
          <w:b/>
          <w:bCs/>
        </w:rPr>
        <w:t>2.</w:t>
      </w:r>
      <w:r w:rsidR="00837FDD" w:rsidRPr="005F60AD">
        <w:rPr>
          <w:b/>
          <w:bCs/>
        </w:rPr>
        <w:t>Доходы от продажи материальных и нематериальных активов:</w:t>
      </w:r>
      <w:r w:rsidR="00837FDD">
        <w:rPr>
          <w:bCs/>
        </w:rPr>
        <w:t xml:space="preserve">  при плане 3 702,3</w:t>
      </w:r>
      <w:r w:rsidR="00837FDD" w:rsidRPr="005F60AD">
        <w:rPr>
          <w:bCs/>
        </w:rPr>
        <w:t xml:space="preserve"> тыс. рублей  поступило </w:t>
      </w:r>
      <w:r w:rsidR="00837FDD">
        <w:rPr>
          <w:bCs/>
        </w:rPr>
        <w:t>1 479,6</w:t>
      </w:r>
      <w:r w:rsidR="00837FDD" w:rsidRPr="005F60AD">
        <w:rPr>
          <w:b/>
          <w:bCs/>
          <w:i/>
        </w:rPr>
        <w:t xml:space="preserve"> тыс. рублей</w:t>
      </w:r>
      <w:r w:rsidR="00837FDD" w:rsidRPr="005F60AD">
        <w:rPr>
          <w:bCs/>
        </w:rPr>
        <w:t xml:space="preserve"> (</w:t>
      </w:r>
      <w:r w:rsidR="00837FDD">
        <w:rPr>
          <w:bCs/>
        </w:rPr>
        <w:t>40,0</w:t>
      </w:r>
      <w:r w:rsidR="00837FDD" w:rsidRPr="005F60AD">
        <w:rPr>
          <w:bCs/>
        </w:rPr>
        <w:t>%). По отношению к уровню прошлого года поступления у</w:t>
      </w:r>
      <w:r w:rsidR="00837FDD">
        <w:rPr>
          <w:bCs/>
        </w:rPr>
        <w:t>меньшилось на  1 279,1</w:t>
      </w:r>
      <w:r w:rsidR="00837FDD" w:rsidRPr="005F60AD">
        <w:rPr>
          <w:bCs/>
        </w:rPr>
        <w:t xml:space="preserve">  тыс. рублей.</w:t>
      </w:r>
    </w:p>
    <w:p w:rsidR="00837FDD" w:rsidRPr="005F60AD" w:rsidRDefault="00837FDD" w:rsidP="00837FDD">
      <w:pPr>
        <w:pStyle w:val="af2"/>
        <w:tabs>
          <w:tab w:val="left" w:pos="1080"/>
          <w:tab w:val="left" w:pos="1134"/>
          <w:tab w:val="left" w:pos="1276"/>
        </w:tabs>
        <w:spacing w:after="0"/>
        <w:jc w:val="both"/>
        <w:rPr>
          <w:bCs/>
        </w:rPr>
      </w:pPr>
      <w:r w:rsidRPr="005F60AD">
        <w:rPr>
          <w:b/>
          <w:bCs/>
          <w:i/>
        </w:rPr>
        <w:t xml:space="preserve">             </w:t>
      </w:r>
      <w:r>
        <w:rPr>
          <w:b/>
          <w:bCs/>
          <w:i/>
        </w:rPr>
        <w:t>2</w:t>
      </w:r>
      <w:r w:rsidRPr="005F60AD">
        <w:rPr>
          <w:b/>
          <w:bCs/>
          <w:i/>
        </w:rPr>
        <w:t>.1 Доходы от реализации муниципального имущества</w:t>
      </w:r>
      <w:r w:rsidRPr="005F60AD">
        <w:rPr>
          <w:bCs/>
        </w:rPr>
        <w:t xml:space="preserve"> составили в сумме </w:t>
      </w:r>
      <w:r>
        <w:rPr>
          <w:bCs/>
        </w:rPr>
        <w:t>1 143,2</w:t>
      </w:r>
      <w:r w:rsidRPr="005F60AD">
        <w:rPr>
          <w:bCs/>
        </w:rPr>
        <w:t xml:space="preserve"> ты</w:t>
      </w:r>
      <w:r>
        <w:rPr>
          <w:bCs/>
        </w:rPr>
        <w:t>с. рублей при уточненном плане 2 790,4</w:t>
      </w:r>
      <w:r w:rsidRPr="005F60AD">
        <w:rPr>
          <w:bCs/>
        </w:rPr>
        <w:t xml:space="preserve"> тыс. рублей;</w:t>
      </w:r>
    </w:p>
    <w:p w:rsidR="00837FDD" w:rsidRDefault="00837FDD" w:rsidP="00837FDD">
      <w:pPr>
        <w:pStyle w:val="af2"/>
        <w:tabs>
          <w:tab w:val="left" w:pos="1080"/>
          <w:tab w:val="left" w:pos="1134"/>
          <w:tab w:val="left" w:pos="1276"/>
        </w:tabs>
        <w:spacing w:after="0"/>
        <w:jc w:val="both"/>
        <w:rPr>
          <w:bCs/>
        </w:rPr>
      </w:pPr>
      <w:r w:rsidRPr="005F60AD">
        <w:rPr>
          <w:b/>
          <w:bCs/>
          <w:i/>
        </w:rPr>
        <w:lastRenderedPageBreak/>
        <w:t xml:space="preserve">            </w:t>
      </w:r>
      <w:r>
        <w:rPr>
          <w:b/>
          <w:bCs/>
          <w:i/>
        </w:rPr>
        <w:t>2</w:t>
      </w:r>
      <w:r w:rsidRPr="005F60AD">
        <w:rPr>
          <w:b/>
          <w:bCs/>
          <w:i/>
        </w:rPr>
        <w:t>.2. Доходы от продажи земельных участков</w:t>
      </w:r>
      <w:r w:rsidRPr="005F60AD">
        <w:rPr>
          <w:bCs/>
        </w:rPr>
        <w:t xml:space="preserve"> составили в сумме </w:t>
      </w:r>
      <w:r>
        <w:rPr>
          <w:bCs/>
        </w:rPr>
        <w:t>336,4</w:t>
      </w:r>
      <w:r w:rsidRPr="005F60AD">
        <w:rPr>
          <w:bCs/>
        </w:rPr>
        <w:t xml:space="preserve"> тыс. ру</w:t>
      </w:r>
      <w:r>
        <w:rPr>
          <w:bCs/>
        </w:rPr>
        <w:t>блей при плановых показателях 911,9 тыс. рублей или 36,9</w:t>
      </w:r>
      <w:r w:rsidRPr="005F60AD">
        <w:rPr>
          <w:bCs/>
        </w:rPr>
        <w:t xml:space="preserve"> % поступления.</w:t>
      </w:r>
    </w:p>
    <w:p w:rsidR="00837FDD" w:rsidRPr="005F60AD" w:rsidRDefault="00837FDD" w:rsidP="00837FDD">
      <w:pPr>
        <w:pStyle w:val="af2"/>
        <w:tabs>
          <w:tab w:val="left" w:pos="1080"/>
          <w:tab w:val="left" w:pos="1134"/>
          <w:tab w:val="left" w:pos="1276"/>
        </w:tabs>
        <w:spacing w:after="0"/>
        <w:jc w:val="both"/>
      </w:pPr>
    </w:p>
    <w:p w:rsidR="0018130F" w:rsidRDefault="0018130F" w:rsidP="0018130F">
      <w:pPr>
        <w:pStyle w:val="af2"/>
        <w:tabs>
          <w:tab w:val="left" w:pos="851"/>
          <w:tab w:val="left" w:pos="1134"/>
        </w:tabs>
        <w:spacing w:after="0"/>
        <w:jc w:val="both"/>
      </w:pPr>
      <w:r>
        <w:rPr>
          <w:b/>
        </w:rPr>
        <w:t>3.</w:t>
      </w:r>
      <w:r w:rsidR="00837FDD" w:rsidRPr="005F60AD">
        <w:rPr>
          <w:b/>
        </w:rPr>
        <w:t xml:space="preserve">Штрафы,  санкции,  возмещение   ущерба: </w:t>
      </w:r>
      <w:r w:rsidR="00837FDD">
        <w:t xml:space="preserve"> </w:t>
      </w:r>
      <w:r>
        <w:t>поступили  в   сумме 116,6</w:t>
      </w:r>
      <w:r w:rsidRPr="005F60AD">
        <w:rPr>
          <w:b/>
        </w:rPr>
        <w:t xml:space="preserve"> </w:t>
      </w:r>
      <w:r>
        <w:rPr>
          <w:b/>
        </w:rPr>
        <w:t>тыс.</w:t>
      </w:r>
      <w:r w:rsidRPr="005F60AD">
        <w:rPr>
          <w:b/>
          <w:i/>
        </w:rPr>
        <w:t xml:space="preserve"> руб.</w:t>
      </w:r>
      <w:r>
        <w:t xml:space="preserve">  при плане 98,3 тыс. рублей или 125,4 % от плана.</w:t>
      </w:r>
      <w:r w:rsidRPr="005F60AD">
        <w:t xml:space="preserve"> </w:t>
      </w:r>
    </w:p>
    <w:p w:rsidR="00837FDD" w:rsidRPr="0018130F" w:rsidRDefault="00837FDD" w:rsidP="0018130F">
      <w:pPr>
        <w:pStyle w:val="af2"/>
        <w:tabs>
          <w:tab w:val="left" w:pos="851"/>
          <w:tab w:val="left" w:pos="1134"/>
        </w:tabs>
        <w:spacing w:after="0"/>
        <w:jc w:val="both"/>
      </w:pPr>
      <w:proofErr w:type="gramStart"/>
      <w:r>
        <w:rPr>
          <w:b/>
        </w:rPr>
        <w:t>4.</w:t>
      </w:r>
      <w:r w:rsidRPr="00056D27">
        <w:rPr>
          <w:b/>
        </w:rPr>
        <w:t xml:space="preserve">Прочие неналоговые доходы:  </w:t>
      </w:r>
      <w:r w:rsidRPr="00056D27">
        <w:t>поступления по прочим  неналоговым доходам в бюджет муниципального района в 2015 году составили в сумме 100,0 тыс. рублей по невыясненным платежам (Средства областного бюджета по соглашению  для муниципальных районов в виде субсидии по обустройству объектов инфраструктуры областного и районных центров, парковых и рекреационных зон плоскостными сооружениями, уличными тренажерами, площадками ГТО, в том числе приобретению спортивно-развивающего оборудования</w:t>
      </w:r>
      <w:proofErr w:type="gramEnd"/>
      <w:r w:rsidRPr="00056D27">
        <w:t xml:space="preserve"> в размере 100 000 рублей </w:t>
      </w:r>
      <w:proofErr w:type="gramStart"/>
      <w:r w:rsidRPr="00056D27">
        <w:t>зачислены</w:t>
      </w:r>
      <w:proofErr w:type="gramEnd"/>
      <w:r w:rsidRPr="00056D27">
        <w:t xml:space="preserve"> 30.12.2015)</w:t>
      </w:r>
      <w:r w:rsidRPr="00056D27">
        <w:rPr>
          <w:sz w:val="26"/>
          <w:szCs w:val="26"/>
        </w:rPr>
        <w:t xml:space="preserve">.   </w:t>
      </w:r>
    </w:p>
    <w:p w:rsidR="0025016B" w:rsidRDefault="0025016B" w:rsidP="0025016B">
      <w:pPr>
        <w:tabs>
          <w:tab w:val="left" w:pos="709"/>
          <w:tab w:val="left" w:pos="851"/>
        </w:tabs>
        <w:autoSpaceDE w:val="0"/>
        <w:autoSpaceDN w:val="0"/>
        <w:adjustRightInd w:val="0"/>
        <w:ind w:right="-309"/>
        <w:jc w:val="both"/>
        <w:outlineLvl w:val="1"/>
        <w:rPr>
          <w:i/>
        </w:rPr>
      </w:pPr>
      <w:r w:rsidRPr="001E1697">
        <w:rPr>
          <w:i/>
        </w:rPr>
        <w:tab/>
      </w:r>
    </w:p>
    <w:p w:rsidR="0095044B" w:rsidRDefault="0025016B" w:rsidP="00037373">
      <w:pPr>
        <w:tabs>
          <w:tab w:val="left" w:pos="709"/>
          <w:tab w:val="left" w:pos="851"/>
        </w:tabs>
        <w:autoSpaceDE w:val="0"/>
        <w:autoSpaceDN w:val="0"/>
        <w:adjustRightInd w:val="0"/>
        <w:ind w:right="-309"/>
        <w:jc w:val="both"/>
        <w:outlineLvl w:val="1"/>
        <w:rPr>
          <w:bCs/>
          <w:lang w:eastAsia="en-US"/>
        </w:rPr>
      </w:pPr>
      <w:r>
        <w:rPr>
          <w:bCs/>
          <w:lang w:eastAsia="en-US"/>
        </w:rPr>
        <w:t>.</w:t>
      </w:r>
      <w:r w:rsidRPr="001E1697">
        <w:rPr>
          <w:bCs/>
          <w:lang w:eastAsia="en-US"/>
        </w:rPr>
        <w:t>Результаты провер</w:t>
      </w:r>
      <w:r>
        <w:rPr>
          <w:bCs/>
          <w:lang w:eastAsia="en-US"/>
        </w:rPr>
        <w:t>ок Главных администраторов доходов оформлены 2 акт</w:t>
      </w:r>
      <w:r w:rsidR="006C38D8">
        <w:rPr>
          <w:bCs/>
          <w:lang w:eastAsia="en-US"/>
        </w:rPr>
        <w:t>а</w:t>
      </w:r>
      <w:r>
        <w:rPr>
          <w:bCs/>
          <w:lang w:eastAsia="en-US"/>
        </w:rPr>
        <w:t xml:space="preserve"> проверок, с Администрацией </w:t>
      </w:r>
      <w:proofErr w:type="spellStart"/>
      <w:r>
        <w:rPr>
          <w:bCs/>
          <w:lang w:eastAsia="en-US"/>
        </w:rPr>
        <w:t>Поддорского</w:t>
      </w:r>
      <w:proofErr w:type="spellEnd"/>
      <w:r>
        <w:rPr>
          <w:bCs/>
          <w:lang w:eastAsia="en-US"/>
        </w:rPr>
        <w:t xml:space="preserve"> муниципального района и с комитетом по экономике и управлению муниципальным имуществом. Оформлен Сводный отчет по результата</w:t>
      </w:r>
      <w:r w:rsidR="006C38D8">
        <w:rPr>
          <w:bCs/>
          <w:lang w:eastAsia="en-US"/>
        </w:rPr>
        <w:t>м</w:t>
      </w:r>
      <w:r>
        <w:rPr>
          <w:bCs/>
          <w:lang w:eastAsia="en-US"/>
        </w:rPr>
        <w:t xml:space="preserve"> проверки и  доведен</w:t>
      </w:r>
      <w:r w:rsidRPr="001E1697">
        <w:rPr>
          <w:bCs/>
          <w:lang w:eastAsia="en-US"/>
        </w:rPr>
        <w:t xml:space="preserve"> до сведения руководителей проверяемых </w:t>
      </w:r>
      <w:r w:rsidR="00037373">
        <w:rPr>
          <w:bCs/>
          <w:lang w:eastAsia="en-US"/>
        </w:rPr>
        <w:t>органов</w:t>
      </w:r>
      <w:r w:rsidRPr="001E1697">
        <w:rPr>
          <w:bCs/>
          <w:lang w:eastAsia="en-US"/>
        </w:rPr>
        <w:t>.</w:t>
      </w:r>
    </w:p>
    <w:p w:rsidR="00037373" w:rsidRDefault="00037373" w:rsidP="00037373">
      <w:pPr>
        <w:tabs>
          <w:tab w:val="left" w:pos="709"/>
          <w:tab w:val="left" w:pos="851"/>
        </w:tabs>
        <w:autoSpaceDE w:val="0"/>
        <w:autoSpaceDN w:val="0"/>
        <w:adjustRightInd w:val="0"/>
        <w:ind w:right="-309"/>
        <w:jc w:val="both"/>
        <w:outlineLvl w:val="1"/>
        <w:rPr>
          <w:b/>
          <w:bCs/>
          <w:highlight w:val="yellow"/>
          <w:lang w:eastAsia="en-US"/>
        </w:rPr>
      </w:pPr>
    </w:p>
    <w:p w:rsidR="0095044B" w:rsidRDefault="0095044B" w:rsidP="0095044B">
      <w:pPr>
        <w:pStyle w:val="1"/>
        <w:ind w:right="-309" w:firstLine="708"/>
        <w:rPr>
          <w:b/>
          <w:bCs/>
          <w:sz w:val="24"/>
          <w:szCs w:val="24"/>
          <w:lang w:eastAsia="en-US"/>
        </w:rPr>
      </w:pPr>
      <w:r w:rsidRPr="0095044B">
        <w:rPr>
          <w:b/>
          <w:bCs/>
          <w:sz w:val="24"/>
          <w:szCs w:val="24"/>
          <w:lang w:eastAsia="en-US"/>
        </w:rPr>
        <w:t xml:space="preserve">По результатам внешних проверок бюджетной отчетности </w:t>
      </w:r>
      <w:r w:rsidR="00037373">
        <w:rPr>
          <w:b/>
          <w:bCs/>
          <w:sz w:val="24"/>
          <w:szCs w:val="24"/>
          <w:lang w:eastAsia="en-US"/>
        </w:rPr>
        <w:t xml:space="preserve">по доходам </w:t>
      </w:r>
      <w:r w:rsidRPr="0095044B">
        <w:rPr>
          <w:b/>
          <w:bCs/>
          <w:sz w:val="24"/>
          <w:szCs w:val="24"/>
          <w:lang w:eastAsia="en-US"/>
        </w:rPr>
        <w:t>за 2015 год сделаны следующие выводы:</w:t>
      </w:r>
    </w:p>
    <w:p w:rsidR="0025016B" w:rsidRPr="0025016B" w:rsidRDefault="0025016B" w:rsidP="0025016B">
      <w:pPr>
        <w:rPr>
          <w:lang w:eastAsia="en-US"/>
        </w:rPr>
      </w:pPr>
    </w:p>
    <w:p w:rsidR="00113F0A" w:rsidRDefault="00113F0A" w:rsidP="00113F0A">
      <w:pPr>
        <w:pStyle w:val="a9"/>
        <w:tabs>
          <w:tab w:val="clear" w:pos="4677"/>
          <w:tab w:val="clear" w:pos="9355"/>
        </w:tabs>
        <w:ind w:firstLine="709"/>
        <w:jc w:val="both"/>
        <w:outlineLvl w:val="0"/>
      </w:pPr>
      <w:proofErr w:type="gramStart"/>
      <w:r w:rsidRPr="0095044B">
        <w:t xml:space="preserve">Решением Думы </w:t>
      </w:r>
      <w:proofErr w:type="spellStart"/>
      <w:r w:rsidRPr="0095044B">
        <w:t>Поддорского</w:t>
      </w:r>
      <w:proofErr w:type="spellEnd"/>
      <w:r w:rsidRPr="0095044B">
        <w:t xml:space="preserve"> муниципального района от  21.07.2015 № 741 «О  внесении изменений в решение Думы муниципального района от 18.12.2014 № 677 «О бюджете муниципального района на 2015 год и на плановый период 2016 и 2017 годов» приложением 9, 11   утвержден</w:t>
      </w:r>
      <w:r w:rsidRPr="008D0374">
        <w:t xml:space="preserve"> «Перечень главных администраторов доходов бюджета муниципального района» утвержден</w:t>
      </w:r>
      <w:r>
        <w:t xml:space="preserve"> комитет по экономики и управлению муниципальным имуществом Администрации муниципального района (306) – как Главный администратор</w:t>
      </w:r>
      <w:proofErr w:type="gramEnd"/>
      <w:r>
        <w:t xml:space="preserve"> доходов муниципального района и как Главный распорядитель  бюджетных средств муниципального района с 21.07.2015 года.</w:t>
      </w:r>
    </w:p>
    <w:p w:rsidR="00837FDD" w:rsidRPr="005F60AD" w:rsidRDefault="00837FDD" w:rsidP="00837FDD">
      <w:pPr>
        <w:jc w:val="both"/>
      </w:pPr>
    </w:p>
    <w:p w:rsidR="00D12BC5" w:rsidRPr="00037373" w:rsidRDefault="00D12BC5" w:rsidP="00D12BC5">
      <w:pPr>
        <w:jc w:val="both"/>
      </w:pPr>
      <w:r w:rsidRPr="00037373">
        <w:rPr>
          <w:rStyle w:val="FontStyle20"/>
          <w:sz w:val="24"/>
          <w:szCs w:val="24"/>
        </w:rPr>
        <w:t>Проверка достоверности отчетности по доходам установлено:</w:t>
      </w:r>
    </w:p>
    <w:p w:rsidR="00D12BC5" w:rsidRDefault="00D12BC5" w:rsidP="00D12BC5">
      <w:pPr>
        <w:jc w:val="both"/>
      </w:pPr>
      <w:r>
        <w:t xml:space="preserve">             </w:t>
      </w:r>
      <w:proofErr w:type="gramStart"/>
      <w:r w:rsidRPr="00F54823">
        <w:t xml:space="preserve">При уточнении бюджета муниципального района утверждены плановые показатели </w:t>
      </w:r>
      <w:r>
        <w:t xml:space="preserve">неналоговых </w:t>
      </w:r>
      <w:r w:rsidRPr="00F54823">
        <w:t>доходов</w:t>
      </w:r>
      <w:r>
        <w:t xml:space="preserve"> бюджета муниципального района на 2015 год, </w:t>
      </w:r>
      <w:r w:rsidRPr="00F54823">
        <w:t xml:space="preserve"> закрепленных за Г</w:t>
      </w:r>
      <w:r>
        <w:t xml:space="preserve">лавным администратором доходов КЭМИ </w:t>
      </w:r>
      <w:r w:rsidRPr="00F54823">
        <w:t xml:space="preserve"> в сумме 287 000 рублей</w:t>
      </w:r>
      <w:r>
        <w:t xml:space="preserve">  на основании справки об изменении кассового плана по доходам </w:t>
      </w:r>
      <w:r w:rsidRPr="00F472E4">
        <w:rPr>
          <w:b/>
        </w:rPr>
        <w:t>от 24.12.2015 года</w:t>
      </w:r>
      <w:r>
        <w:t xml:space="preserve">, что является </w:t>
      </w:r>
      <w:r w:rsidRPr="00F472E4">
        <w:rPr>
          <w:b/>
        </w:rPr>
        <w:t>нарушением пункта 4.2.</w:t>
      </w:r>
      <w:r>
        <w:t xml:space="preserve"> приказа комитета финансов Администрации </w:t>
      </w:r>
      <w:proofErr w:type="spellStart"/>
      <w:r>
        <w:t>Поддорского</w:t>
      </w:r>
      <w:proofErr w:type="spellEnd"/>
      <w:r>
        <w:t xml:space="preserve"> муниципального района от 09.01.2014 № 4 «Об утверждении Порядка составления и ведения</w:t>
      </w:r>
      <w:proofErr w:type="gramEnd"/>
      <w:r>
        <w:t xml:space="preserve"> кассового плана исполнения бюджета муниципального района в текущем финансовом году» </w:t>
      </w:r>
      <w:r w:rsidRPr="003F454C">
        <w:rPr>
          <w:i/>
        </w:rPr>
        <w:t>(нарушены сроки распределения плановых показателей доходов, а также распределение по кодам бюджетной классификации между  администраторами доходов 300 и вновь утвержденным 306)</w:t>
      </w:r>
      <w:r>
        <w:t>.</w:t>
      </w:r>
    </w:p>
    <w:p w:rsidR="00D12BC5" w:rsidRDefault="00D12BC5" w:rsidP="00D12BC5">
      <w:pPr>
        <w:jc w:val="both"/>
      </w:pPr>
      <w:r>
        <w:t xml:space="preserve">        Плановые показатели неналоговых доходов бюджета муниципального района закрепленных за Главными администраторами доходов по коду администратора 306  должны быть утверждены </w:t>
      </w:r>
      <w:proofErr w:type="gramStart"/>
      <w:r>
        <w:t>согласно</w:t>
      </w:r>
      <w:proofErr w:type="gramEnd"/>
      <w:r>
        <w:t xml:space="preserve">,  кассового плана по доходам  с поквартальным распределением  3 и  4 квартала 2015 года.  Распределение доходов произведено по фактическим поступлениям доходным источникам по коду администратора –«306» на  2015 года или в сумме 287,0 тыс. рублей по двум доходным источникам.  </w:t>
      </w:r>
    </w:p>
    <w:p w:rsidR="00D12BC5" w:rsidRDefault="00D12BC5" w:rsidP="00D12BC5">
      <w:pPr>
        <w:jc w:val="both"/>
      </w:pPr>
      <w:r>
        <w:t xml:space="preserve">        </w:t>
      </w:r>
      <w:proofErr w:type="gramStart"/>
      <w:r>
        <w:t xml:space="preserve">За Главным администратором доходов Администрации </w:t>
      </w:r>
      <w:proofErr w:type="spellStart"/>
      <w:r>
        <w:t>Поддорского</w:t>
      </w:r>
      <w:proofErr w:type="spellEnd"/>
      <w:r>
        <w:t xml:space="preserve"> муниципального района по коду администратора 300 определены плановые показатели неналоговых доходов по остаточной сумме от годового назначения 2015 года, однако с 21.07.2015  Администрация муниципального района по данным доходам не являлась главным администратором доходов, или плановые показатели неналоговых доходов </w:t>
      </w:r>
      <w:r>
        <w:lastRenderedPageBreak/>
        <w:t xml:space="preserve">Главному администратору доходов Администрации муниципального района </w:t>
      </w:r>
      <w:r w:rsidRPr="0027345A">
        <w:rPr>
          <w:b/>
        </w:rPr>
        <w:t>завышены на сумму 1 5</w:t>
      </w:r>
      <w:r>
        <w:rPr>
          <w:b/>
        </w:rPr>
        <w:t>44</w:t>
      </w:r>
      <w:r w:rsidRPr="0027345A">
        <w:rPr>
          <w:b/>
        </w:rPr>
        <w:t>,</w:t>
      </w:r>
      <w:r>
        <w:rPr>
          <w:b/>
        </w:rPr>
        <w:t>2</w:t>
      </w:r>
      <w:r w:rsidRPr="0027345A">
        <w:rPr>
          <w:b/>
        </w:rPr>
        <w:t xml:space="preserve"> тыс. рублей</w:t>
      </w:r>
      <w:r>
        <w:t xml:space="preserve"> по трем доходным</w:t>
      </w:r>
      <w:proofErr w:type="gramEnd"/>
      <w:r>
        <w:t xml:space="preserve"> источникам бюджета муниципального района.</w:t>
      </w:r>
    </w:p>
    <w:p w:rsidR="00D12BC5" w:rsidRDefault="00D12BC5" w:rsidP="00D12BC5">
      <w:pPr>
        <w:jc w:val="both"/>
      </w:pPr>
      <w:r>
        <w:t xml:space="preserve">        </w:t>
      </w:r>
      <w:proofErr w:type="gramStart"/>
      <w:r>
        <w:t xml:space="preserve">То есть плановые показатели неналоговых доходов по Главному администратору доходов комитета по экономике и управлению муниципальным имуществом на 2015 год </w:t>
      </w:r>
      <w:r w:rsidRPr="00473AD8">
        <w:rPr>
          <w:b/>
        </w:rPr>
        <w:t>занижены  в сумме</w:t>
      </w:r>
      <w:r>
        <w:t xml:space="preserve"> </w:t>
      </w:r>
      <w:r>
        <w:rPr>
          <w:b/>
        </w:rPr>
        <w:t>1 544</w:t>
      </w:r>
      <w:r w:rsidRPr="00473AD8">
        <w:rPr>
          <w:b/>
        </w:rPr>
        <w:t>,</w:t>
      </w:r>
      <w:r>
        <w:rPr>
          <w:b/>
        </w:rPr>
        <w:t>2</w:t>
      </w:r>
      <w:r w:rsidRPr="00473AD8">
        <w:rPr>
          <w:b/>
        </w:rPr>
        <w:t xml:space="preserve"> тыс. рублей</w:t>
      </w:r>
      <w:r>
        <w:t xml:space="preserve">, что является </w:t>
      </w:r>
      <w:r w:rsidRPr="00283AC7">
        <w:rPr>
          <w:b/>
        </w:rPr>
        <w:t xml:space="preserve">нарушением заполнения формы  годовой отчетности по плановым бюджетным назначениям  доходов согласно </w:t>
      </w:r>
      <w:r>
        <w:rPr>
          <w:b/>
        </w:rPr>
        <w:t xml:space="preserve"> </w:t>
      </w:r>
      <w:r w:rsidRPr="00283AC7">
        <w:rPr>
          <w:b/>
        </w:rPr>
        <w:t>пункта 55</w:t>
      </w:r>
      <w:r>
        <w:t xml:space="preserve"> Инструкции о порядке составления и представления  годовых, квартальных и месячных отчетов об исполнении бюджетов бюджетной системы РФ, утвержденной</w:t>
      </w:r>
      <w:proofErr w:type="gramEnd"/>
      <w:r>
        <w:t xml:space="preserve"> приказом Минфина России от 28.10.2010 № 191н.</w:t>
      </w:r>
    </w:p>
    <w:p w:rsidR="00D12BC5" w:rsidRDefault="00D12BC5" w:rsidP="00D12BC5">
      <w:pPr>
        <w:jc w:val="both"/>
      </w:pPr>
      <w:r>
        <w:t xml:space="preserve">       </w:t>
      </w:r>
      <w:proofErr w:type="gramStart"/>
      <w:r>
        <w:t xml:space="preserve">В нарушение  п.60 Инструкции №191н, главным администратором доходов бюджета в разделе "Доходы бюджета" Отчёта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 в графе 4 Отчёта - «Утвержденные бюджетные назначения» раздела 1 «Доходы» </w:t>
      </w:r>
      <w:r w:rsidRPr="00283AC7">
        <w:rPr>
          <w:b/>
        </w:rPr>
        <w:t xml:space="preserve">не соответствуют </w:t>
      </w:r>
      <w:r>
        <w:t xml:space="preserve"> данным утвержденного решения Думы о бюджете от 21.07.2015 № 741.</w:t>
      </w:r>
      <w:proofErr w:type="gramEnd"/>
    </w:p>
    <w:p w:rsidR="00D12BC5" w:rsidRDefault="00D12BC5" w:rsidP="00D12BC5">
      <w:pPr>
        <w:jc w:val="both"/>
      </w:pPr>
    </w:p>
    <w:p w:rsidR="00D12BC5" w:rsidRDefault="00D12BC5" w:rsidP="00D12BC5">
      <w:pPr>
        <w:jc w:val="both"/>
      </w:pPr>
      <w:r>
        <w:t xml:space="preserve">        </w:t>
      </w:r>
      <w:r w:rsidRPr="00F54823">
        <w:t xml:space="preserve"> Исполнение доходов за 2015 год составило в сумме 288 295,03 рубля или исполнено на 104,5 процентов</w:t>
      </w:r>
      <w:r>
        <w:t xml:space="preserve"> к плановым показателям годового отчета (287,0 тыс. рублей) а  фактически процент выполнения должен составлять 15,7 к годовым назначениям 1 831,2 тыс. рублей.</w:t>
      </w:r>
    </w:p>
    <w:p w:rsidR="00D12BC5" w:rsidRDefault="00D12BC5" w:rsidP="00D12BC5">
      <w:pPr>
        <w:jc w:val="both"/>
      </w:pPr>
      <w:r>
        <w:t xml:space="preserve">         П</w:t>
      </w:r>
      <w:r w:rsidRPr="00F54823">
        <w:t>оступило доходов от арендной платы за земельные участки в сумме 126 839 рублей 65 коп</w:t>
      </w:r>
      <w:proofErr w:type="gramStart"/>
      <w:r w:rsidRPr="00F54823">
        <w:t>.</w:t>
      </w:r>
      <w:proofErr w:type="gramEnd"/>
      <w:r w:rsidRPr="00F54823">
        <w:t xml:space="preserve"> </w:t>
      </w:r>
      <w:proofErr w:type="gramStart"/>
      <w:r w:rsidRPr="00F54823">
        <w:t>п</w:t>
      </w:r>
      <w:proofErr w:type="gramEnd"/>
      <w:r w:rsidRPr="00F54823">
        <w:t>ри плане 125 500</w:t>
      </w:r>
      <w:r>
        <w:t xml:space="preserve"> рублей (306 111 05 013100000 120) или исполнение составило 101,1 процент, фактически  исполнение должно составлять 57,5 процентов;</w:t>
      </w:r>
    </w:p>
    <w:p w:rsidR="00D12BC5" w:rsidRDefault="00D12BC5" w:rsidP="00D12BC5">
      <w:pPr>
        <w:jc w:val="both"/>
      </w:pPr>
      <w:r>
        <w:t>-доходы от продажи земельных участков, государственная собственность на которые не разграничена и которые  расположены в границах сельских поселений в сумме 161 455,38 рублей при плановых показателях 161 500 рублей (306 114 060 13100000 430) или исполнение составило 99,97 процентов,</w:t>
      </w:r>
      <w:r w:rsidRPr="00F72AC0">
        <w:t xml:space="preserve"> </w:t>
      </w:r>
      <w:r>
        <w:t>фактически  исполнение должно составлять 23,5 процентов;</w:t>
      </w:r>
    </w:p>
    <w:p w:rsidR="00D12BC5" w:rsidRDefault="00D12BC5" w:rsidP="00D12BC5">
      <w:pPr>
        <w:jc w:val="both"/>
      </w:pPr>
      <w:r>
        <w:t>-поступлений от реализации имущества, находящегося в муниципальной собственности не было.</w:t>
      </w:r>
    </w:p>
    <w:p w:rsidR="0095044B" w:rsidRDefault="00D12BC5" w:rsidP="0095044B">
      <w:pPr>
        <w:jc w:val="both"/>
        <w:rPr>
          <w:rStyle w:val="FontStyle20"/>
        </w:rPr>
      </w:pPr>
      <w:r w:rsidRPr="0095044B">
        <w:rPr>
          <w:color w:val="FF0000"/>
        </w:rPr>
        <w:t xml:space="preserve">        </w:t>
      </w:r>
      <w:r w:rsidRPr="00EE02A7">
        <w:t>При сопоставлении показателей, по закрепленным решением о бюджете, видам доходов раздела 1 «Доходы бюджета» Отчета (ф. 0503127) на 01</w:t>
      </w:r>
      <w:r>
        <w:t xml:space="preserve">.01.2016 года, </w:t>
      </w:r>
      <w:r w:rsidRPr="00EE02A7">
        <w:t xml:space="preserve">плановым показателям, утвержденным на текущий финансовый год решением о бюджете </w:t>
      </w:r>
      <w:r w:rsidR="00B93D11">
        <w:t xml:space="preserve">по Главным администраторам доходов «Комитета по экономике и управлению имуществом» - (306) и «Администрации муниципального района» - (300) </w:t>
      </w:r>
      <w:r>
        <w:t xml:space="preserve">– </w:t>
      </w:r>
      <w:r w:rsidRPr="00EE02A7">
        <w:t>установлено</w:t>
      </w:r>
      <w:r>
        <w:t xml:space="preserve"> расхождение на сумму 1544,2</w:t>
      </w:r>
      <w:r w:rsidR="00B93D11">
        <w:t xml:space="preserve"> </w:t>
      </w:r>
      <w:r>
        <w:t>тыс</w:t>
      </w:r>
      <w:proofErr w:type="gramStart"/>
      <w:r>
        <w:t>.р</w:t>
      </w:r>
      <w:proofErr w:type="gramEnd"/>
      <w:r>
        <w:t xml:space="preserve">ублей, </w:t>
      </w:r>
      <w:r w:rsidRPr="00427BC3">
        <w:rPr>
          <w:b/>
        </w:rPr>
        <w:t xml:space="preserve">что является нарушением п.55  Инструкции 191н. </w:t>
      </w:r>
      <w:r w:rsidRPr="00EE02A7">
        <w:br/>
      </w:r>
    </w:p>
    <w:p w:rsidR="00D12BC5" w:rsidRPr="00037373" w:rsidRDefault="00D12BC5" w:rsidP="0095044B">
      <w:pPr>
        <w:jc w:val="both"/>
        <w:rPr>
          <w:rStyle w:val="FontStyle20"/>
          <w:sz w:val="24"/>
          <w:szCs w:val="24"/>
        </w:rPr>
      </w:pPr>
      <w:r w:rsidRPr="00037373">
        <w:rPr>
          <w:rStyle w:val="FontStyle20"/>
          <w:sz w:val="24"/>
          <w:szCs w:val="24"/>
        </w:rPr>
        <w:t>Проверка организации ведения бюджетного учета у администратора доходов</w:t>
      </w:r>
    </w:p>
    <w:p w:rsidR="00D12BC5" w:rsidRPr="0095044B" w:rsidRDefault="00D12BC5" w:rsidP="00D12BC5">
      <w:pPr>
        <w:pStyle w:val="Style7"/>
        <w:widowControl/>
        <w:spacing w:before="115" w:line="240" w:lineRule="auto"/>
        <w:ind w:firstLine="710"/>
        <w:rPr>
          <w:rStyle w:val="FontStyle19"/>
          <w:b/>
          <w:i/>
          <w:sz w:val="24"/>
          <w:szCs w:val="24"/>
        </w:rPr>
      </w:pPr>
      <w:r w:rsidRPr="0095044B">
        <w:rPr>
          <w:rStyle w:val="FontStyle19"/>
          <w:sz w:val="24"/>
          <w:szCs w:val="24"/>
        </w:rPr>
        <w:t xml:space="preserve">Оценить правильность ведения регистров бухгалтерского учета и соблюдение установленного порядка документооборота, хранения документов </w:t>
      </w:r>
      <w:r w:rsidRPr="0095044B">
        <w:rPr>
          <w:rStyle w:val="FontStyle19"/>
          <w:b/>
          <w:i/>
          <w:sz w:val="24"/>
          <w:szCs w:val="24"/>
        </w:rPr>
        <w:t>не представилось возможным в виду их отсутствия.</w:t>
      </w:r>
    </w:p>
    <w:p w:rsidR="00D12BC5" w:rsidRPr="00283AC7" w:rsidRDefault="00D12BC5" w:rsidP="00D12BC5">
      <w:pPr>
        <w:pStyle w:val="Style7"/>
        <w:widowControl/>
        <w:spacing w:line="240" w:lineRule="auto"/>
        <w:ind w:firstLine="701"/>
        <w:rPr>
          <w:rStyle w:val="FontStyle19"/>
          <w:sz w:val="22"/>
          <w:szCs w:val="22"/>
        </w:rPr>
      </w:pPr>
      <w:r w:rsidRPr="00283AC7">
        <w:rPr>
          <w:rStyle w:val="FontStyle19"/>
          <w:sz w:val="22"/>
          <w:szCs w:val="22"/>
        </w:rPr>
        <w:t xml:space="preserve">Проверить достоверность сумм, отраженных в годовом отчете, данным бюджетного учета (данным главной книги, оборотам и остаткам аналитического учета) </w:t>
      </w:r>
      <w:r w:rsidRPr="00283AC7">
        <w:rPr>
          <w:rStyle w:val="FontStyle19"/>
          <w:b/>
          <w:i/>
          <w:sz w:val="22"/>
          <w:szCs w:val="22"/>
        </w:rPr>
        <w:t xml:space="preserve">не представилось возможным из-за отсутствия   </w:t>
      </w:r>
      <w:r>
        <w:rPr>
          <w:rStyle w:val="FontStyle19"/>
          <w:sz w:val="22"/>
          <w:szCs w:val="22"/>
        </w:rPr>
        <w:t>Главной книги</w:t>
      </w:r>
      <w:r w:rsidRPr="00283AC7">
        <w:rPr>
          <w:rStyle w:val="FontStyle19"/>
          <w:sz w:val="22"/>
          <w:szCs w:val="22"/>
        </w:rPr>
        <w:t>.</w:t>
      </w:r>
    </w:p>
    <w:p w:rsidR="00D12BC5" w:rsidRPr="0095044B" w:rsidRDefault="00D12BC5" w:rsidP="00D12BC5">
      <w:pPr>
        <w:pStyle w:val="Style7"/>
        <w:widowControl/>
        <w:spacing w:line="240" w:lineRule="auto"/>
        <w:ind w:firstLine="710"/>
        <w:rPr>
          <w:rStyle w:val="FontStyle19"/>
          <w:sz w:val="24"/>
          <w:szCs w:val="24"/>
        </w:rPr>
      </w:pPr>
      <w:r w:rsidRPr="0095044B">
        <w:rPr>
          <w:rStyle w:val="FontStyle19"/>
          <w:sz w:val="24"/>
          <w:szCs w:val="24"/>
        </w:rPr>
        <w:t xml:space="preserve">В 2015 бухгалтерский учет в соответствии с требованиями Бюджетного кодекса, Федерального закона от 6 декабря 2012 года № 402-ФЗ «О бухгалтерском учете», Инструкции 157н </w:t>
      </w:r>
      <w:r w:rsidRPr="0095044B">
        <w:rPr>
          <w:rStyle w:val="FontStyle19"/>
          <w:b/>
          <w:i/>
          <w:sz w:val="24"/>
          <w:szCs w:val="24"/>
        </w:rPr>
        <w:t>не был организован надлежащим образом.</w:t>
      </w:r>
      <w:r w:rsidRPr="0095044B">
        <w:rPr>
          <w:rStyle w:val="FontStyle19"/>
          <w:sz w:val="24"/>
          <w:szCs w:val="24"/>
        </w:rPr>
        <w:t xml:space="preserve"> </w:t>
      </w:r>
    </w:p>
    <w:p w:rsidR="00D12BC5" w:rsidRPr="0095044B" w:rsidRDefault="00D12BC5" w:rsidP="0095044B">
      <w:pPr>
        <w:pStyle w:val="Style7"/>
        <w:widowControl/>
        <w:spacing w:line="240" w:lineRule="auto"/>
        <w:ind w:firstLine="710"/>
        <w:rPr>
          <w:rStyle w:val="FontStyle19"/>
          <w:b/>
          <w:i/>
          <w:sz w:val="24"/>
          <w:szCs w:val="24"/>
        </w:rPr>
      </w:pPr>
      <w:r w:rsidRPr="0095044B">
        <w:rPr>
          <w:rStyle w:val="FontStyle19"/>
          <w:sz w:val="24"/>
          <w:szCs w:val="24"/>
        </w:rPr>
        <w:t xml:space="preserve">В бухгалтерском учете начисления по </w:t>
      </w:r>
      <w:proofErr w:type="spellStart"/>
      <w:r w:rsidRPr="0095044B">
        <w:rPr>
          <w:rStyle w:val="FontStyle19"/>
          <w:sz w:val="24"/>
          <w:szCs w:val="24"/>
        </w:rPr>
        <w:t>администрируемым</w:t>
      </w:r>
      <w:proofErr w:type="spellEnd"/>
      <w:r w:rsidRPr="0095044B">
        <w:rPr>
          <w:rStyle w:val="FontStyle19"/>
          <w:sz w:val="24"/>
          <w:szCs w:val="24"/>
        </w:rPr>
        <w:t xml:space="preserve"> доходам </w:t>
      </w:r>
      <w:r w:rsidRPr="0095044B">
        <w:rPr>
          <w:rStyle w:val="FontStyle19"/>
          <w:b/>
          <w:i/>
          <w:sz w:val="24"/>
          <w:szCs w:val="24"/>
        </w:rPr>
        <w:t xml:space="preserve">не ведутся, соответственно недоимка по </w:t>
      </w:r>
      <w:proofErr w:type="spellStart"/>
      <w:r w:rsidRPr="0095044B">
        <w:rPr>
          <w:rStyle w:val="FontStyle19"/>
          <w:b/>
          <w:i/>
          <w:sz w:val="24"/>
          <w:szCs w:val="24"/>
        </w:rPr>
        <w:t>администрируемым</w:t>
      </w:r>
      <w:proofErr w:type="spellEnd"/>
      <w:r w:rsidRPr="0095044B">
        <w:rPr>
          <w:rStyle w:val="FontStyle19"/>
          <w:b/>
          <w:i/>
          <w:sz w:val="24"/>
          <w:szCs w:val="24"/>
        </w:rPr>
        <w:t xml:space="preserve"> доходам в бухгалтерском учете не отражается, пени по ней не начисляются.</w:t>
      </w:r>
    </w:p>
    <w:p w:rsidR="00D12BC5" w:rsidRDefault="00D12BC5" w:rsidP="00D12BC5">
      <w:pPr>
        <w:pStyle w:val="Style7"/>
        <w:widowControl/>
        <w:spacing w:line="240" w:lineRule="auto"/>
        <w:ind w:firstLine="710"/>
        <w:rPr>
          <w:rStyle w:val="FontStyle19"/>
        </w:rPr>
      </w:pPr>
      <w:r w:rsidRPr="0095044B">
        <w:rPr>
          <w:rStyle w:val="FontStyle19"/>
          <w:sz w:val="24"/>
          <w:szCs w:val="24"/>
        </w:rPr>
        <w:lastRenderedPageBreak/>
        <w:t>В тоже время следует отметить, что комитет анализирует недоимку и ведет претензионную работу. Учет начислений платежей и поступлений в бюджет  ведется на бумажном носителе в «Журнале учета аренды земельных участков» и «Журнале учета аренды имущества</w:t>
      </w:r>
      <w:r w:rsidRPr="00283AC7">
        <w:rPr>
          <w:rStyle w:val="FontStyle19"/>
        </w:rPr>
        <w:t>».</w:t>
      </w:r>
    </w:p>
    <w:p w:rsidR="00D12BC5" w:rsidRPr="00283AC7" w:rsidRDefault="00D12BC5" w:rsidP="00D12BC5">
      <w:pPr>
        <w:pStyle w:val="Style7"/>
        <w:widowControl/>
        <w:spacing w:line="240" w:lineRule="auto"/>
        <w:ind w:firstLine="710"/>
        <w:rPr>
          <w:rStyle w:val="FontStyle19"/>
        </w:rPr>
      </w:pPr>
    </w:p>
    <w:p w:rsidR="00D12BC5" w:rsidRPr="0095044B" w:rsidRDefault="00D12BC5" w:rsidP="00D12BC5">
      <w:pPr>
        <w:autoSpaceDE w:val="0"/>
        <w:autoSpaceDN w:val="0"/>
        <w:adjustRightInd w:val="0"/>
        <w:ind w:right="-2"/>
        <w:jc w:val="both"/>
        <w:rPr>
          <w:b/>
        </w:rPr>
      </w:pPr>
      <w:r w:rsidRPr="0095044B">
        <w:rPr>
          <w:rStyle w:val="FontStyle19"/>
          <w:b/>
          <w:sz w:val="24"/>
          <w:szCs w:val="24"/>
        </w:rPr>
        <w:t xml:space="preserve">Проверкой достоверности, представленных данных в Контрольно-счетную Палату </w:t>
      </w:r>
      <w:proofErr w:type="spellStart"/>
      <w:r w:rsidRPr="0095044B">
        <w:rPr>
          <w:rStyle w:val="FontStyle19"/>
          <w:b/>
          <w:sz w:val="24"/>
          <w:szCs w:val="24"/>
        </w:rPr>
        <w:t>Поддорского</w:t>
      </w:r>
      <w:proofErr w:type="spellEnd"/>
      <w:r w:rsidRPr="0095044B">
        <w:rPr>
          <w:rStyle w:val="FontStyle19"/>
          <w:b/>
          <w:sz w:val="24"/>
          <w:szCs w:val="24"/>
        </w:rPr>
        <w:t xml:space="preserve"> муниципального района за 2015 год по начислению платежей в бюджет района от предоставленных в аренду земельных участков установлено:</w:t>
      </w:r>
    </w:p>
    <w:p w:rsidR="00D12BC5" w:rsidRPr="008F35D5" w:rsidRDefault="00D12BC5" w:rsidP="00D12BC5">
      <w:pPr>
        <w:autoSpaceDE w:val="0"/>
        <w:autoSpaceDN w:val="0"/>
        <w:adjustRightInd w:val="0"/>
        <w:ind w:right="-2"/>
        <w:jc w:val="both"/>
      </w:pPr>
      <w:r w:rsidRPr="008F35D5">
        <w:t xml:space="preserve">         Сумма недополученных доходов бюджет муниципального района в </w:t>
      </w:r>
      <w:r>
        <w:t>2015</w:t>
      </w:r>
      <w:r w:rsidRPr="008F35D5">
        <w:t xml:space="preserve"> году составила в </w:t>
      </w:r>
      <w:r>
        <w:rPr>
          <w:b/>
        </w:rPr>
        <w:t>сумме  334,6 тыс. рублей.</w:t>
      </w:r>
      <w:r w:rsidRPr="008F35D5">
        <w:t xml:space="preserve"> К </w:t>
      </w:r>
      <w:proofErr w:type="spellStart"/>
      <w:r w:rsidRPr="008F35D5">
        <w:t>недополучению</w:t>
      </w:r>
      <w:proofErr w:type="spellEnd"/>
      <w:r w:rsidRPr="008F35D5">
        <w:t xml:space="preserve">  доходов бюджета  относится использование земельных участков без </w:t>
      </w:r>
      <w:r>
        <w:t>начисления</w:t>
      </w:r>
      <w:r w:rsidRPr="008F35D5">
        <w:t xml:space="preserve"> платежей в бюджет</w:t>
      </w:r>
      <w:r>
        <w:t xml:space="preserve"> муниципального района по бухгалтерскому учету</w:t>
      </w:r>
      <w:r w:rsidRPr="008F35D5">
        <w:t xml:space="preserve">, что является </w:t>
      </w:r>
      <w:r w:rsidRPr="00B67603">
        <w:rPr>
          <w:b/>
        </w:rPr>
        <w:t>нарушением пункта 2 статьи 160.1 Бюджетного кодекса РФ.</w:t>
      </w:r>
    </w:p>
    <w:p w:rsidR="00D12BC5" w:rsidRPr="0095044B" w:rsidRDefault="00D12BC5" w:rsidP="00D12BC5">
      <w:pPr>
        <w:spacing w:after="120"/>
        <w:ind w:firstLine="567"/>
        <w:jc w:val="both"/>
        <w:rPr>
          <w:color w:val="000000"/>
        </w:rPr>
      </w:pPr>
      <w:r w:rsidRPr="0095044B">
        <w:rPr>
          <w:color w:val="000000"/>
        </w:rPr>
        <w:t>По состоянию на 01.01.2016 года задолженность  погашена частично или  в сумме 75,0 тыс. руб</w:t>
      </w:r>
      <w:r w:rsidR="0095044B">
        <w:rPr>
          <w:color w:val="000000"/>
        </w:rPr>
        <w:t xml:space="preserve">лей. </w:t>
      </w:r>
      <w:r w:rsidRPr="0095044B">
        <w:rPr>
          <w:color w:val="000000"/>
        </w:rPr>
        <w:t xml:space="preserve">Сумма задолженности по арендной плате за земельные участки по состоянию на 01.01.2016 года составляет в </w:t>
      </w:r>
      <w:r w:rsidRPr="0095044B">
        <w:rPr>
          <w:b/>
          <w:color w:val="000000"/>
        </w:rPr>
        <w:t>сумме 376,1 тыс. руб</w:t>
      </w:r>
      <w:r w:rsidRPr="0095044B">
        <w:rPr>
          <w:color w:val="000000"/>
        </w:rPr>
        <w:t>. (остается на контроле Контрольно-счетной Палаты) из них</w:t>
      </w:r>
      <w:r w:rsidR="0095044B">
        <w:rPr>
          <w:color w:val="000000"/>
        </w:rPr>
        <w:t>:</w:t>
      </w:r>
      <w:r w:rsidR="00037373">
        <w:rPr>
          <w:color w:val="000000"/>
        </w:rPr>
        <w:t xml:space="preserve"> за 2014 год – 25</w:t>
      </w:r>
      <w:r w:rsidRPr="0095044B">
        <w:rPr>
          <w:color w:val="000000"/>
        </w:rPr>
        <w:t>9</w:t>
      </w:r>
      <w:r w:rsidR="00037373">
        <w:rPr>
          <w:color w:val="000000"/>
        </w:rPr>
        <w:t xml:space="preserve"> </w:t>
      </w:r>
      <w:r w:rsidRPr="0095044B">
        <w:rPr>
          <w:color w:val="000000"/>
        </w:rPr>
        <w:t>630,29 рублей, за 201</w:t>
      </w:r>
      <w:r w:rsidR="0095044B">
        <w:rPr>
          <w:color w:val="000000"/>
        </w:rPr>
        <w:t>5</w:t>
      </w:r>
      <w:r w:rsidRPr="0095044B">
        <w:rPr>
          <w:color w:val="000000"/>
        </w:rPr>
        <w:t xml:space="preserve"> год – 116 508,28 рублей. Комитетом  передано исковых заявлений в Арбитражный суд на погашение задолженности в сумме  179,0 тыс. рублей.</w:t>
      </w:r>
    </w:p>
    <w:p w:rsidR="00D12BC5" w:rsidRPr="0095044B" w:rsidRDefault="00D12BC5" w:rsidP="00D12BC5">
      <w:pPr>
        <w:pStyle w:val="Style7"/>
        <w:widowControl/>
        <w:spacing w:line="240" w:lineRule="auto"/>
        <w:ind w:firstLine="701"/>
        <w:rPr>
          <w:rStyle w:val="FontStyle19"/>
          <w:b/>
          <w:sz w:val="24"/>
          <w:szCs w:val="24"/>
        </w:rPr>
      </w:pPr>
      <w:r w:rsidRPr="0095044B">
        <w:rPr>
          <w:rStyle w:val="FontStyle19"/>
          <w:b/>
          <w:sz w:val="24"/>
          <w:szCs w:val="24"/>
        </w:rPr>
        <w:t>Бюджетная отчетность Главным администратором доходов КЭМИ за 2015 год составлена с нарушением Инструкции  №  162н  по начислению доходов и дебиторской задолженности по состоянию на 01.01.2016 года, в результате в годовой отчетности комитета по экономике и управлению муниципальным имуществом имеются недостоверные данные бюджетного учета по доходам.</w:t>
      </w:r>
    </w:p>
    <w:p w:rsidR="00D12BC5" w:rsidRPr="000C66F0" w:rsidRDefault="00D12BC5" w:rsidP="00D12BC5">
      <w:pPr>
        <w:pStyle w:val="Style7"/>
        <w:widowControl/>
        <w:spacing w:line="240" w:lineRule="auto"/>
        <w:ind w:firstLine="701"/>
        <w:rPr>
          <w:i/>
          <w:color w:val="000000"/>
        </w:rPr>
      </w:pPr>
    </w:p>
    <w:p w:rsidR="00D12BC5" w:rsidRDefault="00D12BC5" w:rsidP="00D12BC5">
      <w:pPr>
        <w:jc w:val="both"/>
        <w:rPr>
          <w:b/>
          <w:i/>
        </w:rPr>
      </w:pPr>
      <w:r w:rsidRPr="00DE5F81">
        <w:t xml:space="preserve">          Для ведения реестра муниципальной собственности приобретен программный продукт: «БАРС+АРЕНДА+РЕЕСТР» стоимостью 62,0 тыс. рублей, в 2015 году произведено обновление программы, за который  оплата в сумме   11 475 рублей,  счет выставлен на сумму 22 950 рублей. Однако Программа не используется, то есть оплаченная сумма в 2015 году в размере </w:t>
      </w:r>
      <w:r w:rsidRPr="00B67603">
        <w:rPr>
          <w:b/>
        </w:rPr>
        <w:t xml:space="preserve">11 475 рублей </w:t>
      </w:r>
      <w:r w:rsidRPr="00DE5F81">
        <w:t xml:space="preserve">является  </w:t>
      </w:r>
      <w:r w:rsidRPr="00DE5F81">
        <w:rPr>
          <w:b/>
          <w:i/>
        </w:rPr>
        <w:t xml:space="preserve">неэффективно используемых бюджетных средств, </w:t>
      </w:r>
      <w:r>
        <w:rPr>
          <w:b/>
          <w:i/>
        </w:rPr>
        <w:t>Администрацией муниципального района за 2015 год.</w:t>
      </w:r>
    </w:p>
    <w:p w:rsidR="00D12BC5" w:rsidRDefault="00D12BC5" w:rsidP="00D12BC5">
      <w:pPr>
        <w:pStyle w:val="a9"/>
        <w:tabs>
          <w:tab w:val="clear" w:pos="4677"/>
          <w:tab w:val="clear" w:pos="9355"/>
        </w:tabs>
        <w:ind w:firstLine="709"/>
        <w:jc w:val="both"/>
        <w:outlineLvl w:val="0"/>
        <w:rPr>
          <w:b/>
          <w:i/>
        </w:rPr>
      </w:pPr>
    </w:p>
    <w:p w:rsidR="00FE3F84" w:rsidRPr="00037373" w:rsidRDefault="007D5392" w:rsidP="00FE3F84">
      <w:pPr>
        <w:ind w:right="-309"/>
        <w:jc w:val="center"/>
        <w:rPr>
          <w:b/>
        </w:rPr>
      </w:pPr>
      <w:r w:rsidRPr="00037373">
        <w:rPr>
          <w:b/>
        </w:rPr>
        <w:t xml:space="preserve">Исполнение расходной части </w:t>
      </w:r>
      <w:r w:rsidR="00FE3F84" w:rsidRPr="00037373">
        <w:rPr>
          <w:b/>
        </w:rPr>
        <w:t xml:space="preserve">бюджета </w:t>
      </w:r>
      <w:r w:rsidRPr="00037373">
        <w:rPr>
          <w:b/>
        </w:rPr>
        <w:t>муниципального района</w:t>
      </w:r>
    </w:p>
    <w:p w:rsidR="00FE3F84" w:rsidRPr="00037373" w:rsidRDefault="00FE3F84" w:rsidP="00FE3F84">
      <w:pPr>
        <w:ind w:right="-309" w:firstLine="360"/>
        <w:jc w:val="both"/>
        <w:rPr>
          <w:b/>
        </w:rPr>
      </w:pPr>
    </w:p>
    <w:p w:rsidR="00837FDD" w:rsidRDefault="00FE3F84" w:rsidP="00FE3F84">
      <w:pPr>
        <w:tabs>
          <w:tab w:val="left" w:pos="709"/>
        </w:tabs>
        <w:autoSpaceDE w:val="0"/>
        <w:autoSpaceDN w:val="0"/>
        <w:adjustRightInd w:val="0"/>
        <w:ind w:right="-309"/>
        <w:jc w:val="both"/>
        <w:rPr>
          <w:sz w:val="28"/>
          <w:szCs w:val="28"/>
          <w:lang w:eastAsia="en-US"/>
        </w:rPr>
      </w:pPr>
      <w:r w:rsidRPr="00837FDD">
        <w:tab/>
        <w:t>В соответствии с треб</w:t>
      </w:r>
      <w:r w:rsidR="007D5392" w:rsidRPr="00837FDD">
        <w:t>ованиями законодательства в 2015</w:t>
      </w:r>
      <w:r w:rsidRPr="00837FDD">
        <w:t xml:space="preserve"> году формирование  бюджета </w:t>
      </w:r>
      <w:r w:rsidR="007D5392" w:rsidRPr="00837FDD">
        <w:t xml:space="preserve">муниципального </w:t>
      </w:r>
      <w:r w:rsidRPr="00837FDD">
        <w:t>осуществлялось в «программном формате». С этой целью ответственными исполнителями – соответствующими исполн</w:t>
      </w:r>
      <w:r w:rsidR="007D5392" w:rsidRPr="00837FDD">
        <w:t>ительными органами муниципально</w:t>
      </w:r>
      <w:r w:rsidRPr="00837FDD">
        <w:t xml:space="preserve">й власти </w:t>
      </w:r>
      <w:r w:rsidR="007D5392" w:rsidRPr="00837FDD">
        <w:t>района</w:t>
      </w:r>
      <w:r w:rsidRPr="00837FDD">
        <w:t xml:space="preserve"> были разработаны </w:t>
      </w:r>
      <w:r w:rsidR="007369E6">
        <w:t>20</w:t>
      </w:r>
      <w:r w:rsidRPr="00837FDD">
        <w:t xml:space="preserve"> </w:t>
      </w:r>
      <w:r w:rsidR="007D5392" w:rsidRPr="00837FDD">
        <w:t xml:space="preserve"> муниципальных программ </w:t>
      </w:r>
      <w:proofErr w:type="spellStart"/>
      <w:r w:rsidR="007D5392" w:rsidRPr="00837FDD">
        <w:t>Поддорского</w:t>
      </w:r>
      <w:proofErr w:type="spellEnd"/>
      <w:r w:rsidR="007D5392" w:rsidRPr="00837FDD">
        <w:t xml:space="preserve"> муниципального района</w:t>
      </w:r>
      <w:r w:rsidR="00837FDD" w:rsidRPr="00837FDD">
        <w:t>,</w:t>
      </w:r>
      <w:r w:rsidRPr="00837FDD">
        <w:t xml:space="preserve"> </w:t>
      </w:r>
      <w:r w:rsidR="007D5392" w:rsidRPr="00837FDD">
        <w:t xml:space="preserve">которые утверждены Администрацией </w:t>
      </w:r>
      <w:proofErr w:type="spellStart"/>
      <w:r w:rsidR="007D5392" w:rsidRPr="00837FDD">
        <w:t>Поддорского</w:t>
      </w:r>
      <w:proofErr w:type="spellEnd"/>
      <w:r w:rsidR="007D5392" w:rsidRPr="00837FDD">
        <w:t xml:space="preserve"> муниципального района</w:t>
      </w:r>
      <w:r w:rsidRPr="00837FDD">
        <w:t xml:space="preserve"> до 1 января 2015 года. Все они прошли </w:t>
      </w:r>
      <w:r w:rsidRPr="00837FDD">
        <w:rPr>
          <w:lang w:eastAsia="en-US"/>
        </w:rPr>
        <w:t>финанс</w:t>
      </w:r>
      <w:r w:rsidR="007D5392" w:rsidRPr="00837FDD">
        <w:rPr>
          <w:lang w:eastAsia="en-US"/>
        </w:rPr>
        <w:t>ово-экономическую экспертизу в Контрольно-с</w:t>
      </w:r>
      <w:r w:rsidRPr="00837FDD">
        <w:rPr>
          <w:lang w:eastAsia="en-US"/>
        </w:rPr>
        <w:t xml:space="preserve">четной </w:t>
      </w:r>
      <w:r w:rsidR="007D5392" w:rsidRPr="00837FDD">
        <w:rPr>
          <w:lang w:eastAsia="en-US"/>
        </w:rPr>
        <w:t>П</w:t>
      </w:r>
      <w:r w:rsidRPr="00837FDD">
        <w:rPr>
          <w:lang w:eastAsia="en-US"/>
        </w:rPr>
        <w:t>алате.</w:t>
      </w:r>
      <w:r>
        <w:rPr>
          <w:sz w:val="28"/>
          <w:szCs w:val="28"/>
          <w:lang w:eastAsia="en-US"/>
        </w:rPr>
        <w:t xml:space="preserve"> </w:t>
      </w:r>
    </w:p>
    <w:p w:rsidR="00FE3F84" w:rsidRPr="00837FDD" w:rsidRDefault="00837FDD" w:rsidP="00FE3F84">
      <w:pPr>
        <w:tabs>
          <w:tab w:val="left" w:pos="709"/>
        </w:tabs>
        <w:autoSpaceDE w:val="0"/>
        <w:autoSpaceDN w:val="0"/>
        <w:adjustRightInd w:val="0"/>
        <w:ind w:right="-309"/>
        <w:jc w:val="both"/>
        <w:rPr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5044B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</w:t>
      </w:r>
      <w:r w:rsidR="00FE3F84" w:rsidRPr="00837FDD">
        <w:rPr>
          <w:lang w:eastAsia="en-US"/>
        </w:rPr>
        <w:t>Следует отметить</w:t>
      </w:r>
      <w:r w:rsidR="0095044B">
        <w:t xml:space="preserve">, что </w:t>
      </w:r>
      <w:r w:rsidR="00FE3F84" w:rsidRPr="00837FDD">
        <w:t xml:space="preserve">проведения </w:t>
      </w:r>
      <w:r w:rsidR="00FE3F84" w:rsidRPr="00837FDD">
        <w:rPr>
          <w:lang w:eastAsia="en-US"/>
        </w:rPr>
        <w:t>фина</w:t>
      </w:r>
      <w:r w:rsidR="007D5392" w:rsidRPr="00837FDD">
        <w:rPr>
          <w:lang w:eastAsia="en-US"/>
        </w:rPr>
        <w:t xml:space="preserve">нсово-экономической экспертизы муниципальных </w:t>
      </w:r>
      <w:r w:rsidR="00FE3F84" w:rsidRPr="00837FDD">
        <w:rPr>
          <w:lang w:eastAsia="en-US"/>
        </w:rPr>
        <w:t>программ</w:t>
      </w:r>
      <w:r w:rsidR="00FE3F84" w:rsidRPr="00837FDD">
        <w:t xml:space="preserve"> нормативно </w:t>
      </w:r>
      <w:proofErr w:type="gramStart"/>
      <w:r w:rsidR="00FE3F84" w:rsidRPr="00837FDD">
        <w:t>закреплена</w:t>
      </w:r>
      <w:proofErr w:type="gramEnd"/>
      <w:r w:rsidR="00FE3F84" w:rsidRPr="00837FDD">
        <w:t xml:space="preserve"> </w:t>
      </w:r>
      <w:r w:rsidR="00FE3F84" w:rsidRPr="00837FDD">
        <w:rPr>
          <w:lang w:eastAsia="en-US"/>
        </w:rPr>
        <w:t xml:space="preserve">в Порядке </w:t>
      </w:r>
      <w:r w:rsidR="00FE3F84" w:rsidRPr="00837FDD">
        <w:t xml:space="preserve">принятия решений о разработке </w:t>
      </w:r>
      <w:r w:rsidR="007D5392" w:rsidRPr="00837FDD">
        <w:t>муниципальных</w:t>
      </w:r>
      <w:r w:rsidR="00FE3F84" w:rsidRPr="00837FDD">
        <w:t xml:space="preserve"> программ </w:t>
      </w:r>
      <w:proofErr w:type="spellStart"/>
      <w:r w:rsidR="007D5392" w:rsidRPr="00837FDD">
        <w:t>Поддорского</w:t>
      </w:r>
      <w:proofErr w:type="spellEnd"/>
      <w:r w:rsidR="007D5392" w:rsidRPr="00837FDD">
        <w:t xml:space="preserve"> муниципального района</w:t>
      </w:r>
      <w:r w:rsidR="00FE3F84" w:rsidRPr="00837FDD">
        <w:t>, их формирования и реализации</w:t>
      </w:r>
      <w:r w:rsidRPr="00837FDD">
        <w:t>.</w:t>
      </w:r>
      <w:r w:rsidR="00FE3F84" w:rsidRPr="00837FDD">
        <w:rPr>
          <w:lang w:eastAsia="en-US"/>
        </w:rPr>
        <w:t xml:space="preserve"> </w:t>
      </w:r>
    </w:p>
    <w:p w:rsidR="00FE3F84" w:rsidRPr="00837FDD" w:rsidRDefault="00FE3F84" w:rsidP="00FE3F84">
      <w:pPr>
        <w:ind w:right="-309" w:firstLine="709"/>
        <w:jc w:val="both"/>
        <w:rPr>
          <w:color w:val="000000"/>
        </w:rPr>
      </w:pPr>
      <w:r w:rsidRPr="00837FDD">
        <w:rPr>
          <w:lang w:eastAsia="en-US"/>
        </w:rPr>
        <w:t xml:space="preserve">Согласно Федеральному закону от 28 июня 2014 года № 172-ФЗ «О стратегическом планировании в Российской Федерации» государственные </w:t>
      </w:r>
      <w:r w:rsidR="00837FDD" w:rsidRPr="00837FDD">
        <w:rPr>
          <w:lang w:eastAsia="en-US"/>
        </w:rPr>
        <w:t xml:space="preserve">и муниципальные </w:t>
      </w:r>
      <w:r w:rsidRPr="00837FDD">
        <w:rPr>
          <w:lang w:eastAsia="en-US"/>
        </w:rPr>
        <w:t xml:space="preserve">программы относятся к документам стратегического планирования. По сути, </w:t>
      </w:r>
      <w:r w:rsidR="00837FDD" w:rsidRPr="00837FDD">
        <w:rPr>
          <w:lang w:eastAsia="en-US"/>
        </w:rPr>
        <w:t>м</w:t>
      </w:r>
      <w:r w:rsidR="007D5392" w:rsidRPr="00837FDD">
        <w:rPr>
          <w:lang w:eastAsia="en-US"/>
        </w:rPr>
        <w:t>униципальная</w:t>
      </w:r>
      <w:r w:rsidRPr="00837FDD">
        <w:rPr>
          <w:lang w:eastAsia="en-US"/>
        </w:rPr>
        <w:t xml:space="preserve"> программа - это механизм реализации Стратегии социально-экономического развития </w:t>
      </w:r>
      <w:r w:rsidR="007D5392" w:rsidRPr="00837FDD">
        <w:rPr>
          <w:lang w:eastAsia="en-US"/>
        </w:rPr>
        <w:t>района</w:t>
      </w:r>
      <w:r w:rsidRPr="00837FDD">
        <w:rPr>
          <w:lang w:eastAsia="en-US"/>
        </w:rPr>
        <w:t xml:space="preserve">, посредством которого обеспечивается достижение целей и решение задач государственной политики в той или иной отрасли. Обязательным элементом </w:t>
      </w:r>
      <w:r w:rsidRPr="00837FDD">
        <w:rPr>
          <w:color w:val="000000"/>
        </w:rPr>
        <w:t xml:space="preserve">системы </w:t>
      </w:r>
      <w:proofErr w:type="gramStart"/>
      <w:r w:rsidRPr="00837FDD">
        <w:rPr>
          <w:color w:val="000000"/>
        </w:rPr>
        <w:t>контроля</w:t>
      </w:r>
      <w:r w:rsidR="0095044B">
        <w:rPr>
          <w:color w:val="000000"/>
        </w:rPr>
        <w:t xml:space="preserve"> за</w:t>
      </w:r>
      <w:proofErr w:type="gramEnd"/>
      <w:r w:rsidR="0095044B">
        <w:rPr>
          <w:color w:val="000000"/>
        </w:rPr>
        <w:t xml:space="preserve"> ходом </w:t>
      </w:r>
      <w:r w:rsidR="0095044B">
        <w:rPr>
          <w:color w:val="000000"/>
        </w:rPr>
        <w:lastRenderedPageBreak/>
        <w:t xml:space="preserve">реализации </w:t>
      </w:r>
      <w:r w:rsidR="007D5392" w:rsidRPr="00837FDD">
        <w:rPr>
          <w:color w:val="000000"/>
        </w:rPr>
        <w:t xml:space="preserve">муниципальной </w:t>
      </w:r>
      <w:r w:rsidRPr="00837FDD">
        <w:rPr>
          <w:color w:val="000000"/>
        </w:rPr>
        <w:t>программы</w:t>
      </w:r>
      <w:r w:rsidRPr="00837FDD">
        <w:rPr>
          <w:lang w:eastAsia="en-US"/>
        </w:rPr>
        <w:t xml:space="preserve"> является установление ц</w:t>
      </w:r>
      <w:r w:rsidRPr="00837FDD">
        <w:rPr>
          <w:color w:val="000000"/>
        </w:rPr>
        <w:t xml:space="preserve">елевых показателей. </w:t>
      </w:r>
      <w:proofErr w:type="gramStart"/>
      <w:r w:rsidRPr="00837FDD">
        <w:rPr>
          <w:color w:val="000000"/>
        </w:rPr>
        <w:t xml:space="preserve">Соединение в одном документе, являющимся правовым актом, целей и задач социально-экономического развития </w:t>
      </w:r>
      <w:r w:rsidR="007D5392" w:rsidRPr="00837FDD">
        <w:rPr>
          <w:color w:val="000000"/>
        </w:rPr>
        <w:t>района</w:t>
      </w:r>
      <w:r w:rsidR="00837FDD" w:rsidRPr="00837FDD">
        <w:rPr>
          <w:color w:val="000000"/>
        </w:rPr>
        <w:t>,</w:t>
      </w:r>
      <w:r w:rsidRPr="00837FDD">
        <w:rPr>
          <w:color w:val="000000"/>
        </w:rPr>
        <w:t xml:space="preserve"> мероприятий, способствующих их выполнению и источников их финансирования, а также ориентиров (целевых показателей) достижения конечных результатов, повышает результативность и прозрачность использования  привлекаемых финансовых ресурсов, и в первую очередь бюджетных средств. </w:t>
      </w:r>
      <w:proofErr w:type="gramEnd"/>
    </w:p>
    <w:p w:rsidR="00FE3F84" w:rsidRPr="0061447D" w:rsidRDefault="00FE3F84" w:rsidP="00FE3F84">
      <w:pPr>
        <w:ind w:right="-309" w:firstLine="709"/>
        <w:jc w:val="both"/>
        <w:rPr>
          <w:color w:val="000000"/>
        </w:rPr>
      </w:pPr>
      <w:r w:rsidRPr="0061447D">
        <w:t>Исполнение расходной части  бюджета</w:t>
      </w:r>
      <w:r w:rsidR="007D5392" w:rsidRPr="0061447D">
        <w:t xml:space="preserve"> муниципального района</w:t>
      </w:r>
      <w:r w:rsidRPr="0061447D">
        <w:t xml:space="preserve"> за 201</w:t>
      </w:r>
      <w:r w:rsidR="007D5392" w:rsidRPr="0061447D">
        <w:t>5</w:t>
      </w:r>
      <w:r w:rsidRPr="0061447D">
        <w:t xml:space="preserve"> год проанализиров</w:t>
      </w:r>
      <w:r w:rsidR="007D5392" w:rsidRPr="0061447D">
        <w:t xml:space="preserve">ано с учетом исполнения </w:t>
      </w:r>
      <w:r w:rsidRPr="0061447D">
        <w:t xml:space="preserve">бюджета </w:t>
      </w:r>
      <w:r w:rsidR="007D5392" w:rsidRPr="0061447D">
        <w:t xml:space="preserve">муниципального района </w:t>
      </w:r>
      <w:r w:rsidRPr="0061447D">
        <w:t>с учетом его прогр</w:t>
      </w:r>
      <w:r w:rsidR="007D5392" w:rsidRPr="0061447D">
        <w:t>аммной части</w:t>
      </w:r>
      <w:r w:rsidRPr="0061447D">
        <w:t>:</w:t>
      </w:r>
      <w:r w:rsidRPr="0061447D">
        <w:rPr>
          <w:color w:val="000000"/>
        </w:rPr>
        <w:t xml:space="preserve"> </w:t>
      </w:r>
    </w:p>
    <w:p w:rsidR="00FE3F84" w:rsidRDefault="00FE3F84" w:rsidP="00FE3F84">
      <w:pPr>
        <w:ind w:left="7788" w:right="-309" w:hanging="7968"/>
        <w:jc w:val="both"/>
        <w:rPr>
          <w:color w:val="000000"/>
        </w:rPr>
      </w:pPr>
    </w:p>
    <w:p w:rsidR="00FE3F84" w:rsidRDefault="00EA3535" w:rsidP="00FE3F84">
      <w:pPr>
        <w:ind w:left="7788" w:right="-309" w:hanging="796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тыс.</w:t>
      </w:r>
      <w:r w:rsidR="00FE3F84" w:rsidRPr="00B6327C">
        <w:rPr>
          <w:color w:val="000000"/>
        </w:rPr>
        <w:t xml:space="preserve"> рублей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418"/>
        <w:gridCol w:w="1134"/>
        <w:gridCol w:w="1134"/>
        <w:gridCol w:w="1192"/>
        <w:gridCol w:w="1260"/>
      </w:tblGrid>
      <w:tr w:rsidR="00FE3F84" w:rsidTr="00786238">
        <w:trPr>
          <w:trHeight w:val="549"/>
        </w:trPr>
        <w:tc>
          <w:tcPr>
            <w:tcW w:w="3544" w:type="dxa"/>
            <w:shd w:val="clear" w:color="auto" w:fill="auto"/>
            <w:vAlign w:val="center"/>
          </w:tcPr>
          <w:p w:rsidR="00FE3F84" w:rsidRPr="00C75FB6" w:rsidRDefault="00FE3F84" w:rsidP="00786238">
            <w:pPr>
              <w:ind w:right="-309"/>
              <w:rPr>
                <w:color w:val="000000"/>
              </w:rPr>
            </w:pPr>
            <w:r w:rsidRPr="00C75FB6">
              <w:rPr>
                <w:color w:val="000000"/>
              </w:rPr>
              <w:t>Наименование раздела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F84" w:rsidRDefault="00FE3F84" w:rsidP="00EA3535">
            <w:pPr>
              <w:ind w:right="-309"/>
              <w:rPr>
                <w:color w:val="000000"/>
                <w:sz w:val="18"/>
                <w:szCs w:val="18"/>
              </w:rPr>
            </w:pPr>
            <w:r w:rsidRPr="00FB3660">
              <w:rPr>
                <w:color w:val="000000"/>
                <w:sz w:val="18"/>
                <w:szCs w:val="18"/>
              </w:rPr>
              <w:t>Уточненный план</w:t>
            </w:r>
          </w:p>
          <w:p w:rsidR="00EA3535" w:rsidRPr="00FB3660" w:rsidRDefault="00EA3535" w:rsidP="00EA3535">
            <w:pPr>
              <w:ind w:right="-3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F84" w:rsidRDefault="00FE3F84" w:rsidP="00EA3535">
            <w:pPr>
              <w:ind w:right="-309"/>
              <w:rPr>
                <w:color w:val="000000"/>
                <w:sz w:val="18"/>
                <w:szCs w:val="18"/>
              </w:rPr>
            </w:pPr>
            <w:r w:rsidRPr="00FB3660">
              <w:rPr>
                <w:color w:val="000000"/>
                <w:sz w:val="18"/>
                <w:szCs w:val="18"/>
              </w:rPr>
              <w:t>Исполнение</w:t>
            </w:r>
          </w:p>
          <w:p w:rsidR="00EA3535" w:rsidRPr="00FB3660" w:rsidRDefault="00EA3535" w:rsidP="00EA3535">
            <w:pPr>
              <w:ind w:right="-3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 2015 </w:t>
            </w:r>
            <w:proofErr w:type="spellStart"/>
            <w:r>
              <w:rPr>
                <w:color w:val="000000"/>
                <w:sz w:val="18"/>
                <w:szCs w:val="18"/>
              </w:rPr>
              <w:t>гд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E3F84" w:rsidRPr="00FB3660" w:rsidRDefault="00FE3F84" w:rsidP="00786238">
            <w:pPr>
              <w:ind w:right="-309"/>
              <w:rPr>
                <w:color w:val="000000"/>
                <w:sz w:val="18"/>
                <w:szCs w:val="18"/>
              </w:rPr>
            </w:pPr>
            <w:r w:rsidRPr="00FB3660"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3F84" w:rsidRPr="00FB3660" w:rsidRDefault="00EA3535" w:rsidP="00EA3535">
            <w:pPr>
              <w:ind w:right="-3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Струк</w:t>
            </w:r>
            <w:r w:rsidR="00FE3F84" w:rsidRPr="00FB3660">
              <w:rPr>
                <w:color w:val="000000"/>
                <w:sz w:val="18"/>
                <w:szCs w:val="18"/>
              </w:rPr>
              <w:t>тура, 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E3F84" w:rsidRPr="00FB3660" w:rsidRDefault="00FE3F84" w:rsidP="00EA3535">
            <w:pPr>
              <w:ind w:right="-309"/>
              <w:rPr>
                <w:sz w:val="18"/>
                <w:szCs w:val="18"/>
              </w:rPr>
            </w:pPr>
            <w:r w:rsidRPr="00FB3660">
              <w:rPr>
                <w:sz w:val="18"/>
                <w:szCs w:val="18"/>
              </w:rPr>
              <w:t xml:space="preserve">Исполнение, % </w:t>
            </w:r>
          </w:p>
        </w:tc>
      </w:tr>
      <w:tr w:rsidR="00FE3F84" w:rsidTr="00786238">
        <w:trPr>
          <w:trHeight w:val="204"/>
        </w:trPr>
        <w:tc>
          <w:tcPr>
            <w:tcW w:w="3544" w:type="dxa"/>
            <w:shd w:val="clear" w:color="auto" w:fill="auto"/>
            <w:vAlign w:val="center"/>
          </w:tcPr>
          <w:p w:rsidR="00FE3F84" w:rsidRPr="00DC0E8A" w:rsidRDefault="00FE3F84" w:rsidP="00786238">
            <w:pPr>
              <w:ind w:right="-309"/>
              <w:rPr>
                <w:b/>
                <w:color w:val="000000"/>
                <w:sz w:val="20"/>
                <w:szCs w:val="20"/>
              </w:rPr>
            </w:pPr>
            <w:r w:rsidRPr="00DC0E8A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F84" w:rsidRPr="00DC0E8A" w:rsidRDefault="00EA07EC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23 110,5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F84" w:rsidRPr="00DC0E8A" w:rsidRDefault="00EA07EC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22 066,1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F84" w:rsidRPr="00DC0E8A" w:rsidRDefault="004273CB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-1 044,4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3F84" w:rsidRPr="00DC0E8A" w:rsidRDefault="004273CB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E3F84" w:rsidRPr="00DC0E8A" w:rsidRDefault="00EA07EC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95,5</w:t>
            </w:r>
          </w:p>
        </w:tc>
      </w:tr>
      <w:tr w:rsidR="00FE3F84" w:rsidTr="00786238">
        <w:trPr>
          <w:trHeight w:val="146"/>
        </w:trPr>
        <w:tc>
          <w:tcPr>
            <w:tcW w:w="3544" w:type="dxa"/>
            <w:shd w:val="clear" w:color="auto" w:fill="auto"/>
            <w:vAlign w:val="center"/>
          </w:tcPr>
          <w:p w:rsidR="00FE3F84" w:rsidRPr="00DC0E8A" w:rsidRDefault="00FE3F84" w:rsidP="00786238">
            <w:pPr>
              <w:ind w:right="-309"/>
              <w:rPr>
                <w:color w:val="000000"/>
                <w:sz w:val="20"/>
                <w:szCs w:val="20"/>
              </w:rPr>
            </w:pPr>
            <w:r w:rsidRPr="00DC0E8A">
              <w:rPr>
                <w:color w:val="000000"/>
                <w:sz w:val="20"/>
                <w:szCs w:val="20"/>
              </w:rPr>
              <w:t>программная часть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E3F84" w:rsidRPr="00DC0E8A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84" w:rsidRPr="00DC0E8A" w:rsidRDefault="004273CB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84" w:rsidRPr="00DC0E8A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FE3F84" w:rsidRPr="00DC0E8A" w:rsidRDefault="00FE3F84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DC0E8A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E3F84" w:rsidRPr="00DC0E8A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E3F84" w:rsidTr="00786238">
        <w:trPr>
          <w:trHeight w:val="267"/>
        </w:trPr>
        <w:tc>
          <w:tcPr>
            <w:tcW w:w="3544" w:type="dxa"/>
            <w:shd w:val="clear" w:color="auto" w:fill="auto"/>
            <w:vAlign w:val="center"/>
          </w:tcPr>
          <w:p w:rsidR="00FE3F84" w:rsidRPr="00DC0E8A" w:rsidRDefault="00FE3F84" w:rsidP="00786238">
            <w:pPr>
              <w:ind w:right="-309"/>
              <w:rPr>
                <w:color w:val="000000"/>
                <w:sz w:val="20"/>
                <w:szCs w:val="20"/>
              </w:rPr>
            </w:pPr>
            <w:proofErr w:type="spellStart"/>
            <w:r w:rsidRPr="00DC0E8A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DC0E8A">
              <w:rPr>
                <w:color w:val="000000"/>
                <w:sz w:val="20"/>
                <w:szCs w:val="20"/>
              </w:rPr>
              <w:t xml:space="preserve"> часть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E3F84" w:rsidRPr="008D4A0E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8D4A0E">
              <w:rPr>
                <w:color w:val="000000"/>
                <w:sz w:val="20"/>
                <w:szCs w:val="20"/>
              </w:rPr>
              <w:t>23 087,3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84" w:rsidRPr="008D4A0E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8D4A0E">
              <w:rPr>
                <w:color w:val="000000"/>
                <w:sz w:val="20"/>
                <w:szCs w:val="20"/>
              </w:rPr>
              <w:t>22 062,9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84" w:rsidRPr="008D4A0E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8D4A0E">
              <w:rPr>
                <w:color w:val="000000"/>
                <w:sz w:val="20"/>
                <w:szCs w:val="20"/>
              </w:rPr>
              <w:t>-1 024,4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FE3F84" w:rsidRPr="00DC0E8A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E3F84" w:rsidRPr="00DC0E8A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FE3F84" w:rsidTr="00786238">
        <w:trPr>
          <w:trHeight w:val="126"/>
        </w:trPr>
        <w:tc>
          <w:tcPr>
            <w:tcW w:w="3544" w:type="dxa"/>
            <w:shd w:val="clear" w:color="auto" w:fill="auto"/>
            <w:vAlign w:val="center"/>
          </w:tcPr>
          <w:p w:rsidR="00FE3F84" w:rsidRPr="00DC0E8A" w:rsidRDefault="00FE3F84" w:rsidP="00786238">
            <w:pPr>
              <w:ind w:right="-309"/>
              <w:rPr>
                <w:b/>
                <w:color w:val="000000"/>
                <w:sz w:val="20"/>
                <w:szCs w:val="20"/>
              </w:rPr>
            </w:pPr>
            <w:r w:rsidRPr="00DC0E8A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F84" w:rsidRPr="008D4A0E" w:rsidRDefault="00EA07EC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8D4A0E">
              <w:rPr>
                <w:b/>
                <w:sz w:val="20"/>
                <w:szCs w:val="20"/>
              </w:rPr>
              <w:t>341,2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F84" w:rsidRPr="008D4A0E" w:rsidRDefault="00EA07EC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8D4A0E">
              <w:rPr>
                <w:b/>
                <w:sz w:val="20"/>
                <w:szCs w:val="20"/>
              </w:rPr>
              <w:t>341,2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F84" w:rsidRPr="008D4A0E" w:rsidRDefault="00EA07EC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8D4A0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3F84" w:rsidRPr="00DC0E8A" w:rsidRDefault="00FE3F84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E3F84" w:rsidRPr="00DC0E8A" w:rsidRDefault="00EA07EC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FE3F84" w:rsidTr="00786238">
        <w:trPr>
          <w:trHeight w:val="118"/>
        </w:trPr>
        <w:tc>
          <w:tcPr>
            <w:tcW w:w="3544" w:type="dxa"/>
            <w:shd w:val="clear" w:color="auto" w:fill="auto"/>
            <w:vAlign w:val="center"/>
          </w:tcPr>
          <w:p w:rsidR="00FE3F84" w:rsidRPr="00DC0E8A" w:rsidRDefault="00FE3F84" w:rsidP="00786238">
            <w:pPr>
              <w:ind w:right="-309"/>
              <w:rPr>
                <w:color w:val="000000"/>
                <w:sz w:val="20"/>
                <w:szCs w:val="20"/>
              </w:rPr>
            </w:pPr>
            <w:r w:rsidRPr="00DC0E8A">
              <w:rPr>
                <w:color w:val="000000"/>
                <w:sz w:val="20"/>
                <w:szCs w:val="20"/>
              </w:rPr>
              <w:t>программная часть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E3F84" w:rsidRPr="008D4A0E" w:rsidRDefault="00AF0B42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8D4A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84" w:rsidRPr="008D4A0E" w:rsidRDefault="00AF0B42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8D4A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84" w:rsidRPr="008D4A0E" w:rsidRDefault="00AF0B42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8D4A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FE3F84" w:rsidRPr="00DC0E8A" w:rsidRDefault="00FE3F84" w:rsidP="00AF0B42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DC0E8A">
              <w:rPr>
                <w:color w:val="000000"/>
                <w:sz w:val="20"/>
                <w:szCs w:val="20"/>
              </w:rPr>
              <w:t>0,</w:t>
            </w:r>
            <w:r w:rsidR="00AF0B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E3F84" w:rsidRPr="00DC0E8A" w:rsidRDefault="00AF0B42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E3F84" w:rsidTr="00786238">
        <w:trPr>
          <w:trHeight w:val="126"/>
        </w:trPr>
        <w:tc>
          <w:tcPr>
            <w:tcW w:w="3544" w:type="dxa"/>
            <w:shd w:val="clear" w:color="auto" w:fill="auto"/>
            <w:vAlign w:val="center"/>
          </w:tcPr>
          <w:p w:rsidR="00FE3F84" w:rsidRPr="00DC0E8A" w:rsidRDefault="00FE3F84" w:rsidP="00786238">
            <w:pPr>
              <w:ind w:right="-309"/>
              <w:rPr>
                <w:color w:val="000000"/>
                <w:sz w:val="20"/>
                <w:szCs w:val="20"/>
              </w:rPr>
            </w:pPr>
            <w:proofErr w:type="spellStart"/>
            <w:r w:rsidRPr="00DC0E8A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DC0E8A">
              <w:rPr>
                <w:color w:val="000000"/>
                <w:sz w:val="20"/>
                <w:szCs w:val="20"/>
              </w:rPr>
              <w:t xml:space="preserve"> часть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E3F84" w:rsidRPr="008D4A0E" w:rsidRDefault="00AF0B42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8D4A0E"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84" w:rsidRPr="008D4A0E" w:rsidRDefault="00AF0B42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8D4A0E">
              <w:rPr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84" w:rsidRPr="008D4A0E" w:rsidRDefault="00AF0B42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8D4A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FE3F84" w:rsidRPr="00DC0E8A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E3F84" w:rsidRPr="00DC0E8A" w:rsidRDefault="00AF0B42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E3F84" w:rsidTr="00786238">
        <w:trPr>
          <w:trHeight w:val="527"/>
        </w:trPr>
        <w:tc>
          <w:tcPr>
            <w:tcW w:w="3544" w:type="dxa"/>
            <w:shd w:val="clear" w:color="auto" w:fill="auto"/>
            <w:vAlign w:val="center"/>
          </w:tcPr>
          <w:p w:rsidR="00FE3F84" w:rsidRPr="00DC0E8A" w:rsidRDefault="00FE3F84" w:rsidP="00786238">
            <w:pPr>
              <w:ind w:right="-309"/>
              <w:rPr>
                <w:b/>
                <w:color w:val="000000"/>
                <w:sz w:val="20"/>
                <w:szCs w:val="20"/>
              </w:rPr>
            </w:pPr>
            <w:r w:rsidRPr="00DC0E8A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F84" w:rsidRPr="008D4A0E" w:rsidRDefault="00EA07EC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8D4A0E">
              <w:rPr>
                <w:b/>
                <w:sz w:val="20"/>
                <w:szCs w:val="20"/>
              </w:rPr>
              <w:t>2 470,2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F84" w:rsidRPr="008D4A0E" w:rsidRDefault="00EA07EC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8D4A0E">
              <w:rPr>
                <w:b/>
                <w:sz w:val="20"/>
                <w:szCs w:val="20"/>
              </w:rPr>
              <w:t>2 416,1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F84" w:rsidRPr="008D4A0E" w:rsidRDefault="004273CB" w:rsidP="008D4A0E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8D4A0E">
              <w:rPr>
                <w:b/>
                <w:sz w:val="20"/>
                <w:szCs w:val="20"/>
              </w:rPr>
              <w:t>-5</w:t>
            </w:r>
            <w:r w:rsidR="00EA07EC" w:rsidRPr="008D4A0E">
              <w:rPr>
                <w:b/>
                <w:sz w:val="20"/>
                <w:szCs w:val="20"/>
              </w:rPr>
              <w:t>4</w:t>
            </w:r>
            <w:r w:rsidRPr="008D4A0E">
              <w:rPr>
                <w:b/>
                <w:sz w:val="20"/>
                <w:szCs w:val="20"/>
              </w:rPr>
              <w:t>,</w:t>
            </w:r>
            <w:r w:rsidR="008D4A0E" w:rsidRPr="008D4A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3F84" w:rsidRPr="00DC0E8A" w:rsidRDefault="002E7A6C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E3F84" w:rsidRPr="00DC0E8A" w:rsidRDefault="00EA07EC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</w:tc>
      </w:tr>
      <w:tr w:rsidR="00FE3F84" w:rsidTr="00786238">
        <w:trPr>
          <w:trHeight w:val="298"/>
        </w:trPr>
        <w:tc>
          <w:tcPr>
            <w:tcW w:w="3544" w:type="dxa"/>
            <w:shd w:val="clear" w:color="auto" w:fill="auto"/>
            <w:vAlign w:val="center"/>
          </w:tcPr>
          <w:p w:rsidR="00FE3F84" w:rsidRPr="00DC0E8A" w:rsidRDefault="00FE3F84" w:rsidP="00786238">
            <w:pPr>
              <w:ind w:right="-309"/>
              <w:rPr>
                <w:color w:val="000000"/>
                <w:sz w:val="20"/>
                <w:szCs w:val="20"/>
              </w:rPr>
            </w:pPr>
            <w:r w:rsidRPr="00DC0E8A">
              <w:rPr>
                <w:color w:val="000000"/>
                <w:sz w:val="20"/>
                <w:szCs w:val="20"/>
              </w:rPr>
              <w:t>программная часть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E3F84" w:rsidRPr="008D4A0E" w:rsidRDefault="00AF0B42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8D4A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84" w:rsidRPr="008D4A0E" w:rsidRDefault="00AF0B42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8D4A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84" w:rsidRPr="008D4A0E" w:rsidRDefault="00AF0B42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8D4A0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FE3F84" w:rsidRPr="00DC0E8A" w:rsidRDefault="00AF0B42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E3F84" w:rsidRPr="00DC0E8A" w:rsidRDefault="00AF0B42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73CB" w:rsidTr="00AD15C3">
        <w:trPr>
          <w:trHeight w:val="275"/>
        </w:trPr>
        <w:tc>
          <w:tcPr>
            <w:tcW w:w="3544" w:type="dxa"/>
            <w:shd w:val="clear" w:color="auto" w:fill="auto"/>
            <w:vAlign w:val="center"/>
          </w:tcPr>
          <w:p w:rsidR="004273CB" w:rsidRPr="00DC0E8A" w:rsidRDefault="004273CB" w:rsidP="00786238">
            <w:pPr>
              <w:ind w:right="-309"/>
              <w:rPr>
                <w:color w:val="000000"/>
                <w:sz w:val="20"/>
                <w:szCs w:val="20"/>
              </w:rPr>
            </w:pPr>
            <w:proofErr w:type="spellStart"/>
            <w:r w:rsidRPr="00DC0E8A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DC0E8A">
              <w:rPr>
                <w:color w:val="000000"/>
                <w:sz w:val="20"/>
                <w:szCs w:val="20"/>
              </w:rPr>
              <w:t xml:space="preserve"> часть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3CB" w:rsidRPr="008D4A0E" w:rsidRDefault="004273CB" w:rsidP="00AD15C3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8D4A0E">
              <w:rPr>
                <w:b/>
                <w:sz w:val="20"/>
                <w:szCs w:val="20"/>
              </w:rPr>
              <w:t>2 470,2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CB" w:rsidRPr="008D4A0E" w:rsidRDefault="004273CB" w:rsidP="00AD15C3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8D4A0E">
              <w:rPr>
                <w:b/>
                <w:sz w:val="20"/>
                <w:szCs w:val="20"/>
              </w:rPr>
              <w:t>2 416,1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CB" w:rsidRPr="008D4A0E" w:rsidRDefault="004273CB" w:rsidP="008D4A0E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8D4A0E">
              <w:rPr>
                <w:b/>
                <w:sz w:val="20"/>
                <w:szCs w:val="20"/>
              </w:rPr>
              <w:t>-54,</w:t>
            </w:r>
            <w:r w:rsidR="008D4A0E" w:rsidRPr="008D4A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4273CB" w:rsidRPr="00DC0E8A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73CB" w:rsidRPr="00DC0E8A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4273CB" w:rsidTr="00786238">
        <w:trPr>
          <w:trHeight w:val="242"/>
        </w:trPr>
        <w:tc>
          <w:tcPr>
            <w:tcW w:w="3544" w:type="dxa"/>
            <w:shd w:val="clear" w:color="auto" w:fill="auto"/>
            <w:vAlign w:val="center"/>
          </w:tcPr>
          <w:p w:rsidR="004273CB" w:rsidRPr="00DC0E8A" w:rsidRDefault="004273CB" w:rsidP="00786238">
            <w:pPr>
              <w:ind w:right="-309"/>
              <w:rPr>
                <w:b/>
                <w:color w:val="000000"/>
                <w:sz w:val="20"/>
                <w:szCs w:val="20"/>
              </w:rPr>
            </w:pPr>
            <w:r w:rsidRPr="00DC0E8A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3CB" w:rsidRPr="008D4A0E" w:rsidRDefault="004273CB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8D4A0E">
              <w:rPr>
                <w:b/>
                <w:sz w:val="20"/>
                <w:szCs w:val="20"/>
              </w:rPr>
              <w:t>9 164,7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CB" w:rsidRPr="008D4A0E" w:rsidRDefault="004273CB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8D4A0E">
              <w:rPr>
                <w:b/>
                <w:sz w:val="20"/>
                <w:szCs w:val="20"/>
              </w:rPr>
              <w:t>7</w:t>
            </w:r>
            <w:r w:rsidR="00E97442" w:rsidRPr="008D4A0E">
              <w:rPr>
                <w:b/>
                <w:sz w:val="20"/>
                <w:szCs w:val="20"/>
              </w:rPr>
              <w:t xml:space="preserve"> </w:t>
            </w:r>
            <w:r w:rsidRPr="008D4A0E">
              <w:rPr>
                <w:b/>
                <w:sz w:val="20"/>
                <w:szCs w:val="20"/>
              </w:rPr>
              <w:t>825,1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CB" w:rsidRPr="008D4A0E" w:rsidRDefault="004273CB" w:rsidP="00AF0B42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8D4A0E">
              <w:rPr>
                <w:b/>
                <w:sz w:val="20"/>
                <w:szCs w:val="20"/>
              </w:rPr>
              <w:t>-1 339,6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273CB" w:rsidRPr="00DC0E8A" w:rsidRDefault="002E7A6C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73CB" w:rsidRPr="00DC0E8A" w:rsidRDefault="002E7A6C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85,4</w:t>
            </w:r>
          </w:p>
        </w:tc>
      </w:tr>
      <w:tr w:rsidR="004273CB" w:rsidTr="00AD15C3">
        <w:trPr>
          <w:trHeight w:val="242"/>
        </w:trPr>
        <w:tc>
          <w:tcPr>
            <w:tcW w:w="3544" w:type="dxa"/>
            <w:shd w:val="clear" w:color="auto" w:fill="auto"/>
            <w:vAlign w:val="center"/>
          </w:tcPr>
          <w:p w:rsidR="004273CB" w:rsidRPr="00DC0E8A" w:rsidRDefault="004273CB" w:rsidP="00786238">
            <w:pPr>
              <w:ind w:right="-309"/>
              <w:rPr>
                <w:color w:val="000000"/>
                <w:sz w:val="20"/>
                <w:szCs w:val="20"/>
              </w:rPr>
            </w:pPr>
            <w:r w:rsidRPr="00DC0E8A">
              <w:rPr>
                <w:color w:val="000000"/>
                <w:sz w:val="20"/>
                <w:szCs w:val="20"/>
              </w:rPr>
              <w:t>программная часть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3CB" w:rsidRPr="008D4A0E" w:rsidRDefault="004273CB" w:rsidP="00AD15C3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8D4A0E">
              <w:rPr>
                <w:b/>
                <w:sz w:val="20"/>
                <w:szCs w:val="20"/>
              </w:rPr>
              <w:t>9 164,7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CB" w:rsidRPr="008D4A0E" w:rsidRDefault="004273CB" w:rsidP="00AD15C3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8D4A0E">
              <w:rPr>
                <w:b/>
                <w:sz w:val="20"/>
                <w:szCs w:val="20"/>
              </w:rPr>
              <w:t>7</w:t>
            </w:r>
            <w:r w:rsidR="00E97442" w:rsidRPr="008D4A0E">
              <w:rPr>
                <w:b/>
                <w:sz w:val="20"/>
                <w:szCs w:val="20"/>
              </w:rPr>
              <w:t xml:space="preserve"> </w:t>
            </w:r>
            <w:r w:rsidRPr="008D4A0E">
              <w:rPr>
                <w:b/>
                <w:sz w:val="20"/>
                <w:szCs w:val="20"/>
              </w:rPr>
              <w:t>825,1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CB" w:rsidRPr="008D4A0E" w:rsidRDefault="004273CB" w:rsidP="00AD15C3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8D4A0E">
              <w:rPr>
                <w:b/>
                <w:sz w:val="20"/>
                <w:szCs w:val="20"/>
              </w:rPr>
              <w:t>-1 339,6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273CB" w:rsidRPr="00DC0E8A" w:rsidRDefault="002E7A6C" w:rsidP="00AD15C3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73CB" w:rsidRPr="00DC0E8A" w:rsidRDefault="002E7A6C" w:rsidP="00AD15C3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85,4</w:t>
            </w:r>
          </w:p>
        </w:tc>
      </w:tr>
      <w:tr w:rsidR="004273CB" w:rsidTr="00786238">
        <w:trPr>
          <w:trHeight w:val="242"/>
        </w:trPr>
        <w:tc>
          <w:tcPr>
            <w:tcW w:w="3544" w:type="dxa"/>
            <w:shd w:val="clear" w:color="auto" w:fill="auto"/>
            <w:vAlign w:val="center"/>
          </w:tcPr>
          <w:p w:rsidR="004273CB" w:rsidRPr="00DC0E8A" w:rsidRDefault="004273CB" w:rsidP="00786238">
            <w:pPr>
              <w:ind w:right="-309"/>
              <w:rPr>
                <w:color w:val="000000"/>
                <w:sz w:val="20"/>
                <w:szCs w:val="20"/>
              </w:rPr>
            </w:pPr>
            <w:proofErr w:type="spellStart"/>
            <w:r w:rsidRPr="00DC0E8A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DC0E8A">
              <w:rPr>
                <w:color w:val="000000"/>
                <w:sz w:val="20"/>
                <w:szCs w:val="20"/>
              </w:rPr>
              <w:t xml:space="preserve"> часть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273CB" w:rsidRPr="00DC0E8A" w:rsidRDefault="004273CB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73CB" w:rsidRPr="00DC0E8A" w:rsidRDefault="004273CB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73CB" w:rsidRPr="00DC0E8A" w:rsidRDefault="004273CB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4273CB" w:rsidRPr="00DC0E8A" w:rsidRDefault="004273CB" w:rsidP="00AF0B42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DC0E8A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73CB" w:rsidRPr="00DC0E8A" w:rsidRDefault="004273CB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73CB" w:rsidTr="00786238">
        <w:trPr>
          <w:trHeight w:val="263"/>
        </w:trPr>
        <w:tc>
          <w:tcPr>
            <w:tcW w:w="3544" w:type="dxa"/>
            <w:shd w:val="clear" w:color="auto" w:fill="auto"/>
            <w:vAlign w:val="center"/>
          </w:tcPr>
          <w:p w:rsidR="004273CB" w:rsidRPr="00DC0E8A" w:rsidRDefault="004273CB" w:rsidP="00786238">
            <w:pPr>
              <w:ind w:right="-309"/>
              <w:rPr>
                <w:b/>
                <w:color w:val="000000"/>
                <w:sz w:val="20"/>
                <w:szCs w:val="20"/>
              </w:rPr>
            </w:pPr>
            <w:r w:rsidRPr="00DC0E8A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3CB" w:rsidRPr="00DC0E8A" w:rsidRDefault="004273CB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CB" w:rsidRPr="00DC0E8A" w:rsidRDefault="004273CB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CB" w:rsidRPr="00DC0E8A" w:rsidRDefault="004273CB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273CB" w:rsidRPr="00DC0E8A" w:rsidRDefault="002E7A6C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73CB" w:rsidRPr="00DC0E8A" w:rsidRDefault="004273CB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4273CB" w:rsidTr="00786238">
        <w:trPr>
          <w:trHeight w:val="263"/>
        </w:trPr>
        <w:tc>
          <w:tcPr>
            <w:tcW w:w="3544" w:type="dxa"/>
            <w:shd w:val="clear" w:color="auto" w:fill="auto"/>
            <w:vAlign w:val="center"/>
          </w:tcPr>
          <w:p w:rsidR="004273CB" w:rsidRPr="00DC0E8A" w:rsidRDefault="004273CB" w:rsidP="00786238">
            <w:pPr>
              <w:ind w:right="-309"/>
              <w:rPr>
                <w:color w:val="000000"/>
                <w:sz w:val="20"/>
                <w:szCs w:val="20"/>
              </w:rPr>
            </w:pPr>
            <w:r w:rsidRPr="00DC0E8A">
              <w:rPr>
                <w:color w:val="000000"/>
                <w:sz w:val="20"/>
                <w:szCs w:val="20"/>
              </w:rPr>
              <w:t>программная часть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273CB" w:rsidRPr="00DC0E8A" w:rsidRDefault="004273CB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73CB" w:rsidRPr="00DC0E8A" w:rsidRDefault="004273CB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73CB" w:rsidRPr="00DC0E8A" w:rsidRDefault="004273CB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4273CB" w:rsidRPr="00DC0E8A" w:rsidRDefault="004273CB" w:rsidP="00AF0B42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DC0E8A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73CB" w:rsidRPr="00DC0E8A" w:rsidRDefault="004273CB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73CB" w:rsidTr="00AD15C3">
        <w:trPr>
          <w:trHeight w:val="263"/>
        </w:trPr>
        <w:tc>
          <w:tcPr>
            <w:tcW w:w="3544" w:type="dxa"/>
            <w:shd w:val="clear" w:color="auto" w:fill="auto"/>
            <w:vAlign w:val="center"/>
          </w:tcPr>
          <w:p w:rsidR="004273CB" w:rsidRPr="00DC0E8A" w:rsidRDefault="004273CB" w:rsidP="00786238">
            <w:pPr>
              <w:ind w:right="-309"/>
              <w:rPr>
                <w:color w:val="000000"/>
                <w:sz w:val="20"/>
                <w:szCs w:val="20"/>
              </w:rPr>
            </w:pPr>
            <w:proofErr w:type="spellStart"/>
            <w:r w:rsidRPr="00DC0E8A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DC0E8A">
              <w:rPr>
                <w:color w:val="000000"/>
                <w:sz w:val="20"/>
                <w:szCs w:val="20"/>
              </w:rPr>
              <w:t xml:space="preserve"> часть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3CB" w:rsidRPr="00DC0E8A" w:rsidRDefault="004273CB" w:rsidP="00AD15C3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CB" w:rsidRPr="00DC0E8A" w:rsidRDefault="004273CB" w:rsidP="00AD15C3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CB" w:rsidRPr="00DC0E8A" w:rsidRDefault="004273CB" w:rsidP="00AD15C3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273CB" w:rsidRPr="00DC0E8A" w:rsidRDefault="002E7A6C" w:rsidP="00AD15C3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73CB" w:rsidRPr="00DC0E8A" w:rsidRDefault="004273CB" w:rsidP="00AD15C3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4273CB" w:rsidTr="00C525AF">
        <w:trPr>
          <w:trHeight w:val="313"/>
        </w:trPr>
        <w:tc>
          <w:tcPr>
            <w:tcW w:w="3544" w:type="dxa"/>
            <w:shd w:val="clear" w:color="auto" w:fill="auto"/>
            <w:vAlign w:val="center"/>
          </w:tcPr>
          <w:p w:rsidR="004273CB" w:rsidRPr="00DC0E8A" w:rsidRDefault="004273CB" w:rsidP="00786238">
            <w:pPr>
              <w:ind w:right="-309"/>
              <w:rPr>
                <w:b/>
                <w:color w:val="000000"/>
                <w:sz w:val="20"/>
                <w:szCs w:val="20"/>
              </w:rPr>
            </w:pPr>
            <w:r w:rsidRPr="00DC0E8A">
              <w:rPr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3CB" w:rsidRPr="00DC0E8A" w:rsidRDefault="004273CB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57 073,0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CB" w:rsidRPr="00DC0E8A" w:rsidRDefault="004273CB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55 269,0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CB" w:rsidRPr="00DC0E8A" w:rsidRDefault="004273CB" w:rsidP="00AF0B42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-1 804,0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273CB" w:rsidRPr="00DC0E8A" w:rsidRDefault="004273CB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DC0E8A">
              <w:rPr>
                <w:b/>
                <w:sz w:val="20"/>
                <w:szCs w:val="20"/>
              </w:rPr>
              <w:t>3</w:t>
            </w:r>
            <w:r w:rsidR="002E7A6C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73CB" w:rsidRPr="00DC0E8A" w:rsidRDefault="004273CB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96,8</w:t>
            </w:r>
          </w:p>
        </w:tc>
      </w:tr>
      <w:tr w:rsidR="0091601B" w:rsidTr="00786238">
        <w:trPr>
          <w:trHeight w:val="254"/>
        </w:trPr>
        <w:tc>
          <w:tcPr>
            <w:tcW w:w="3544" w:type="dxa"/>
            <w:shd w:val="clear" w:color="auto" w:fill="auto"/>
            <w:vAlign w:val="center"/>
          </w:tcPr>
          <w:p w:rsidR="0091601B" w:rsidRPr="00DC0E8A" w:rsidRDefault="00C525AF" w:rsidP="00786238">
            <w:pPr>
              <w:ind w:right="-309"/>
              <w:rPr>
                <w:b/>
                <w:color w:val="000000"/>
                <w:sz w:val="20"/>
                <w:szCs w:val="20"/>
              </w:rPr>
            </w:pPr>
            <w:r w:rsidRPr="00DC0E8A">
              <w:rPr>
                <w:color w:val="000000"/>
                <w:sz w:val="20"/>
                <w:szCs w:val="20"/>
              </w:rPr>
              <w:t>программная часть</w:t>
            </w:r>
            <w:r>
              <w:rPr>
                <w:color w:val="000000"/>
                <w:sz w:val="20"/>
                <w:szCs w:val="20"/>
              </w:rPr>
              <w:t xml:space="preserve"> – остатки  2014 г</w:t>
            </w:r>
            <w:proofErr w:type="gramStart"/>
            <w:r>
              <w:rPr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91601B" w:rsidRDefault="0091601B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601B" w:rsidRDefault="00C525AF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1 555,6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01B" w:rsidRDefault="00C525AF" w:rsidP="00AF0B42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1 555,6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1601B" w:rsidRPr="00DC0E8A" w:rsidRDefault="00C525AF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1601B" w:rsidRDefault="00C525AF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273CB" w:rsidTr="00AD15C3">
        <w:trPr>
          <w:trHeight w:val="254"/>
        </w:trPr>
        <w:tc>
          <w:tcPr>
            <w:tcW w:w="3544" w:type="dxa"/>
            <w:shd w:val="clear" w:color="auto" w:fill="auto"/>
            <w:vAlign w:val="center"/>
          </w:tcPr>
          <w:p w:rsidR="004273CB" w:rsidRPr="00DC0E8A" w:rsidRDefault="004273CB" w:rsidP="00786238">
            <w:pPr>
              <w:ind w:right="-309"/>
              <w:rPr>
                <w:color w:val="000000"/>
                <w:sz w:val="20"/>
                <w:szCs w:val="20"/>
              </w:rPr>
            </w:pPr>
            <w:r w:rsidRPr="00DC0E8A">
              <w:rPr>
                <w:color w:val="000000"/>
                <w:sz w:val="20"/>
                <w:szCs w:val="20"/>
              </w:rPr>
              <w:t>программная часть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3CB" w:rsidRPr="00DC0E8A" w:rsidRDefault="004273CB" w:rsidP="00AD15C3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57 073,0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CB" w:rsidRPr="00DC0E8A" w:rsidRDefault="004273CB" w:rsidP="00C525AF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525AF">
              <w:rPr>
                <w:b/>
                <w:sz w:val="20"/>
                <w:szCs w:val="20"/>
              </w:rPr>
              <w:t>3 713,4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CB" w:rsidRPr="00DC0E8A" w:rsidRDefault="00C525AF" w:rsidP="00AD15C3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-3 359,6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4273CB" w:rsidRPr="002E7A6C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73CB" w:rsidRPr="002E7A6C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4273CB" w:rsidTr="00786238">
        <w:trPr>
          <w:trHeight w:val="254"/>
        </w:trPr>
        <w:tc>
          <w:tcPr>
            <w:tcW w:w="3544" w:type="dxa"/>
            <w:shd w:val="clear" w:color="auto" w:fill="auto"/>
            <w:vAlign w:val="center"/>
          </w:tcPr>
          <w:p w:rsidR="004273CB" w:rsidRPr="00DC0E8A" w:rsidRDefault="004273CB" w:rsidP="00786238">
            <w:pPr>
              <w:ind w:right="-309"/>
              <w:rPr>
                <w:color w:val="000000"/>
                <w:sz w:val="20"/>
                <w:szCs w:val="20"/>
              </w:rPr>
            </w:pPr>
            <w:proofErr w:type="spellStart"/>
            <w:r w:rsidRPr="00DC0E8A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DC0E8A">
              <w:rPr>
                <w:color w:val="000000"/>
                <w:sz w:val="20"/>
                <w:szCs w:val="20"/>
              </w:rPr>
              <w:t xml:space="preserve"> часть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273CB" w:rsidRPr="00DC0E8A" w:rsidRDefault="004273CB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73CB" w:rsidRPr="00DC0E8A" w:rsidRDefault="004273CB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73CB" w:rsidRPr="00DC0E8A" w:rsidRDefault="004273CB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4273CB" w:rsidRPr="002E7A6C" w:rsidRDefault="004273CB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73CB" w:rsidRPr="002E7A6C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73CB" w:rsidTr="00786238">
        <w:trPr>
          <w:trHeight w:val="261"/>
        </w:trPr>
        <w:tc>
          <w:tcPr>
            <w:tcW w:w="3544" w:type="dxa"/>
            <w:shd w:val="clear" w:color="auto" w:fill="auto"/>
            <w:vAlign w:val="center"/>
          </w:tcPr>
          <w:p w:rsidR="004273CB" w:rsidRPr="00DC0E8A" w:rsidRDefault="004273CB" w:rsidP="00786238">
            <w:pPr>
              <w:ind w:right="-309"/>
              <w:rPr>
                <w:b/>
                <w:color w:val="000000"/>
                <w:sz w:val="20"/>
                <w:szCs w:val="20"/>
              </w:rPr>
            </w:pPr>
            <w:r w:rsidRPr="00DC0E8A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3CB" w:rsidRPr="00DC0E8A" w:rsidRDefault="004273CB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21 495,6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CB" w:rsidRPr="00DC0E8A" w:rsidRDefault="004273CB" w:rsidP="00E97442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20 785,</w:t>
            </w:r>
            <w:r w:rsidR="00E974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CB" w:rsidRPr="00DC0E8A" w:rsidRDefault="004273CB" w:rsidP="00AF0B42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-710,5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273CB" w:rsidRPr="002E7A6C" w:rsidRDefault="002E7A6C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73CB" w:rsidRPr="002E7A6C" w:rsidRDefault="004273CB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2E7A6C">
              <w:rPr>
                <w:b/>
                <w:sz w:val="20"/>
                <w:szCs w:val="20"/>
              </w:rPr>
              <w:t>96,7</w:t>
            </w:r>
          </w:p>
        </w:tc>
      </w:tr>
      <w:tr w:rsidR="004273CB" w:rsidRPr="002E7A6C" w:rsidTr="00AD15C3">
        <w:trPr>
          <w:trHeight w:val="261"/>
        </w:trPr>
        <w:tc>
          <w:tcPr>
            <w:tcW w:w="3544" w:type="dxa"/>
            <w:shd w:val="clear" w:color="auto" w:fill="auto"/>
            <w:vAlign w:val="center"/>
          </w:tcPr>
          <w:p w:rsidR="004273CB" w:rsidRPr="002E7A6C" w:rsidRDefault="004273CB" w:rsidP="00786238">
            <w:pPr>
              <w:ind w:right="-309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программная часть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3CB" w:rsidRPr="002E7A6C" w:rsidRDefault="004273CB" w:rsidP="00AD15C3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2E7A6C">
              <w:rPr>
                <w:b/>
                <w:sz w:val="20"/>
                <w:szCs w:val="20"/>
              </w:rPr>
              <w:t>21 495,6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CB" w:rsidRPr="002E7A6C" w:rsidRDefault="004273CB" w:rsidP="00AD15C3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2E7A6C">
              <w:rPr>
                <w:b/>
                <w:sz w:val="20"/>
                <w:szCs w:val="20"/>
              </w:rPr>
              <w:t>20 785,</w:t>
            </w:r>
            <w:r w:rsidR="00E974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CB" w:rsidRPr="002E7A6C" w:rsidRDefault="004273CB" w:rsidP="00AF0B42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2E7A6C">
              <w:rPr>
                <w:b/>
                <w:sz w:val="20"/>
                <w:szCs w:val="20"/>
              </w:rPr>
              <w:t>-710,5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4273CB" w:rsidRPr="002E7A6C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73CB" w:rsidRPr="002E7A6C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</w:t>
            </w:r>
          </w:p>
        </w:tc>
      </w:tr>
      <w:tr w:rsidR="002E7A6C" w:rsidRPr="002E7A6C" w:rsidTr="00786238">
        <w:trPr>
          <w:trHeight w:val="261"/>
        </w:trPr>
        <w:tc>
          <w:tcPr>
            <w:tcW w:w="3544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rPr>
                <w:color w:val="000000"/>
                <w:sz w:val="20"/>
                <w:szCs w:val="20"/>
              </w:rPr>
            </w:pPr>
            <w:proofErr w:type="spellStart"/>
            <w:r w:rsidRPr="002E7A6C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2E7A6C">
              <w:rPr>
                <w:color w:val="000000"/>
                <w:sz w:val="20"/>
                <w:szCs w:val="20"/>
              </w:rPr>
              <w:t xml:space="preserve"> часть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7A6C" w:rsidRPr="00DC0E8A" w:rsidRDefault="002E7A6C" w:rsidP="00AD15C3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A6C" w:rsidRPr="00DC0E8A" w:rsidRDefault="002E7A6C" w:rsidP="00AD15C3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A6C" w:rsidRPr="00DC0E8A" w:rsidRDefault="002E7A6C" w:rsidP="00AD15C3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2E7A6C" w:rsidRPr="002E7A6C" w:rsidRDefault="002E7A6C" w:rsidP="00AD15C3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E7A6C" w:rsidRPr="002E7A6C" w:rsidRDefault="002E7A6C" w:rsidP="00AD15C3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7A6C" w:rsidRPr="002E7A6C" w:rsidTr="00786238">
        <w:trPr>
          <w:trHeight w:val="225"/>
        </w:trPr>
        <w:tc>
          <w:tcPr>
            <w:tcW w:w="3544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rPr>
                <w:b/>
                <w:color w:val="000000"/>
                <w:sz w:val="20"/>
                <w:szCs w:val="20"/>
              </w:rPr>
            </w:pPr>
            <w:r w:rsidRPr="002E7A6C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2E7A6C">
              <w:rPr>
                <w:b/>
                <w:sz w:val="20"/>
                <w:szCs w:val="20"/>
              </w:rPr>
              <w:t>23 160,5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2E7A6C">
              <w:rPr>
                <w:b/>
                <w:sz w:val="20"/>
                <w:szCs w:val="20"/>
              </w:rPr>
              <w:t>19 897,2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A6C" w:rsidRPr="002E7A6C" w:rsidRDefault="002E7A6C" w:rsidP="00571462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2E7A6C">
              <w:rPr>
                <w:b/>
                <w:sz w:val="20"/>
                <w:szCs w:val="20"/>
              </w:rPr>
              <w:t>-3 263,3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2E7A6C">
              <w:rPr>
                <w:b/>
                <w:sz w:val="20"/>
                <w:szCs w:val="20"/>
              </w:rPr>
              <w:t>20,9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2E7A6C">
              <w:rPr>
                <w:b/>
                <w:sz w:val="20"/>
                <w:szCs w:val="20"/>
              </w:rPr>
              <w:t>85,9</w:t>
            </w:r>
          </w:p>
        </w:tc>
      </w:tr>
      <w:tr w:rsidR="002E7A6C" w:rsidRPr="002E7A6C" w:rsidTr="00786238">
        <w:trPr>
          <w:trHeight w:val="225"/>
        </w:trPr>
        <w:tc>
          <w:tcPr>
            <w:tcW w:w="3544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программная часть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7A6C" w:rsidRPr="002E7A6C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6 434,8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A6C" w:rsidRPr="002E7A6C" w:rsidRDefault="00A01026" w:rsidP="00A01026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6 394</w:t>
            </w:r>
            <w:r w:rsidR="002E7A6C" w:rsidRPr="002E7A6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A6C" w:rsidRPr="002E7A6C" w:rsidRDefault="00A01026" w:rsidP="00A01026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  <w:r w:rsidR="002E7A6C" w:rsidRPr="002E7A6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2E7A6C" w:rsidRPr="002E7A6C" w:rsidRDefault="00FB3660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E7A6C" w:rsidRPr="002E7A6C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7A6C" w:rsidRPr="002E7A6C" w:rsidTr="00786238">
        <w:trPr>
          <w:trHeight w:val="225"/>
        </w:trPr>
        <w:tc>
          <w:tcPr>
            <w:tcW w:w="3544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rPr>
                <w:color w:val="000000"/>
                <w:sz w:val="20"/>
                <w:szCs w:val="20"/>
              </w:rPr>
            </w:pPr>
            <w:proofErr w:type="spellStart"/>
            <w:r w:rsidRPr="002E7A6C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2E7A6C">
              <w:rPr>
                <w:color w:val="000000"/>
                <w:sz w:val="20"/>
                <w:szCs w:val="20"/>
              </w:rPr>
              <w:t xml:space="preserve"> часть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7A6C" w:rsidRPr="002E7A6C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16 725,7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A6C" w:rsidRPr="002E7A6C" w:rsidRDefault="002E7A6C" w:rsidP="00A01026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13</w:t>
            </w:r>
            <w:r w:rsidR="00A01026">
              <w:rPr>
                <w:color w:val="000000"/>
                <w:sz w:val="20"/>
                <w:szCs w:val="20"/>
              </w:rPr>
              <w:t> 502,4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A6C" w:rsidRPr="002E7A6C" w:rsidRDefault="002E7A6C" w:rsidP="00A01026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-3 228,</w:t>
            </w:r>
            <w:r w:rsidR="00A010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2E7A6C" w:rsidRPr="002E7A6C" w:rsidRDefault="00FB3660" w:rsidP="006E0B80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E7A6C" w:rsidRPr="002E7A6C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85</w:t>
            </w:r>
            <w:r w:rsidR="00FB3660">
              <w:rPr>
                <w:color w:val="000000"/>
                <w:sz w:val="20"/>
                <w:szCs w:val="20"/>
              </w:rPr>
              <w:t>,9</w:t>
            </w:r>
          </w:p>
        </w:tc>
      </w:tr>
      <w:tr w:rsidR="002E7A6C" w:rsidRPr="002E7A6C" w:rsidTr="00786238">
        <w:trPr>
          <w:trHeight w:val="226"/>
        </w:trPr>
        <w:tc>
          <w:tcPr>
            <w:tcW w:w="3544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rPr>
                <w:b/>
                <w:color w:val="000000"/>
                <w:sz w:val="20"/>
                <w:szCs w:val="20"/>
              </w:rPr>
            </w:pPr>
            <w:r w:rsidRPr="002E7A6C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2E7A6C">
              <w:rPr>
                <w:b/>
                <w:sz w:val="20"/>
                <w:szCs w:val="20"/>
              </w:rPr>
              <w:t>2 266,1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2E7A6C">
              <w:rPr>
                <w:b/>
                <w:sz w:val="20"/>
                <w:szCs w:val="20"/>
              </w:rPr>
              <w:t>2 099,8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A6C" w:rsidRPr="002E7A6C" w:rsidRDefault="002E7A6C" w:rsidP="00D03784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2E7A6C">
              <w:rPr>
                <w:b/>
                <w:sz w:val="20"/>
                <w:szCs w:val="20"/>
              </w:rPr>
              <w:t>-</w:t>
            </w:r>
            <w:r w:rsidR="00D03784">
              <w:rPr>
                <w:b/>
                <w:sz w:val="20"/>
                <w:szCs w:val="20"/>
              </w:rPr>
              <w:t>1</w:t>
            </w:r>
            <w:r w:rsidRPr="002E7A6C">
              <w:rPr>
                <w:b/>
                <w:sz w:val="20"/>
                <w:szCs w:val="20"/>
              </w:rPr>
              <w:t>6</w:t>
            </w:r>
            <w:r w:rsidR="00D03784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E7A6C" w:rsidRPr="002E7A6C" w:rsidRDefault="00FB3660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2E7A6C">
              <w:rPr>
                <w:b/>
                <w:sz w:val="20"/>
                <w:szCs w:val="20"/>
              </w:rPr>
              <w:t>92,7</w:t>
            </w:r>
          </w:p>
        </w:tc>
      </w:tr>
      <w:tr w:rsidR="002E7A6C" w:rsidRPr="002E7A6C" w:rsidTr="00FD76FF">
        <w:trPr>
          <w:trHeight w:val="81"/>
        </w:trPr>
        <w:tc>
          <w:tcPr>
            <w:tcW w:w="3544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программная часть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6C" w:rsidRPr="002E7A6C" w:rsidRDefault="002E7A6C" w:rsidP="00FD76FF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2E7A6C">
              <w:rPr>
                <w:b/>
                <w:sz w:val="20"/>
                <w:szCs w:val="20"/>
              </w:rPr>
              <w:t>2 266,1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A6C" w:rsidRPr="002E7A6C" w:rsidRDefault="002E7A6C" w:rsidP="00FD76FF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2E7A6C">
              <w:rPr>
                <w:b/>
                <w:sz w:val="20"/>
                <w:szCs w:val="20"/>
              </w:rPr>
              <w:t>2 099,8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A6C" w:rsidRPr="002E7A6C" w:rsidRDefault="002E7A6C" w:rsidP="00FD76FF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2E7A6C">
              <w:rPr>
                <w:b/>
                <w:sz w:val="20"/>
                <w:szCs w:val="20"/>
              </w:rPr>
              <w:t>-</w:t>
            </w:r>
            <w:r w:rsidR="00D03784">
              <w:rPr>
                <w:b/>
                <w:sz w:val="20"/>
                <w:szCs w:val="20"/>
              </w:rPr>
              <w:t>166,3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E7A6C" w:rsidRPr="002E7A6C" w:rsidRDefault="00FB3660" w:rsidP="00FD76FF">
            <w:pPr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7A6C" w:rsidRPr="002E7A6C" w:rsidRDefault="002E7A6C" w:rsidP="00FD76FF">
            <w:pPr>
              <w:ind w:right="-309"/>
              <w:jc w:val="center"/>
              <w:rPr>
                <w:b/>
                <w:sz w:val="20"/>
                <w:szCs w:val="20"/>
              </w:rPr>
            </w:pPr>
            <w:r w:rsidRPr="002E7A6C">
              <w:rPr>
                <w:b/>
                <w:sz w:val="20"/>
                <w:szCs w:val="20"/>
              </w:rPr>
              <w:t>92,7</w:t>
            </w:r>
          </w:p>
        </w:tc>
      </w:tr>
      <w:tr w:rsidR="002E7A6C" w:rsidRPr="002E7A6C" w:rsidTr="00786238">
        <w:trPr>
          <w:trHeight w:val="256"/>
        </w:trPr>
        <w:tc>
          <w:tcPr>
            <w:tcW w:w="3544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rPr>
                <w:color w:val="000000"/>
                <w:sz w:val="20"/>
                <w:szCs w:val="20"/>
              </w:rPr>
            </w:pPr>
            <w:proofErr w:type="spellStart"/>
            <w:r w:rsidRPr="002E7A6C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2E7A6C">
              <w:rPr>
                <w:color w:val="000000"/>
                <w:sz w:val="20"/>
                <w:szCs w:val="20"/>
              </w:rPr>
              <w:t xml:space="preserve"> часть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7A6C" w:rsidRPr="002E7A6C" w:rsidRDefault="002E7A6C" w:rsidP="00FD76FF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A6C" w:rsidRPr="002E7A6C" w:rsidRDefault="002E7A6C" w:rsidP="00FD76FF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A6C" w:rsidRPr="002E7A6C" w:rsidRDefault="002E7A6C" w:rsidP="00FD76FF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2E7A6C" w:rsidRPr="002E7A6C" w:rsidRDefault="002E7A6C" w:rsidP="00FD76FF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E7A6C" w:rsidRPr="002E7A6C" w:rsidRDefault="002E7A6C" w:rsidP="00FD76FF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7A6C" w:rsidRPr="002E7A6C" w:rsidTr="00786238">
        <w:trPr>
          <w:trHeight w:val="236"/>
        </w:trPr>
        <w:tc>
          <w:tcPr>
            <w:tcW w:w="3544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rPr>
                <w:b/>
                <w:color w:val="000000"/>
                <w:sz w:val="20"/>
                <w:szCs w:val="20"/>
              </w:rPr>
            </w:pPr>
            <w:r w:rsidRPr="002E7A6C">
              <w:rPr>
                <w:b/>
                <w:color w:val="000000"/>
                <w:sz w:val="20"/>
                <w:szCs w:val="20"/>
              </w:rPr>
              <w:t>Обслуживание государственного и муниципального  долга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jc w:val="center"/>
              <w:rPr>
                <w:b/>
                <w:color w:val="000000"/>
                <w:sz w:val="20"/>
                <w:szCs w:val="20"/>
              </w:rPr>
            </w:pPr>
            <w:r w:rsidRPr="002E7A6C">
              <w:rPr>
                <w:b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jc w:val="center"/>
              <w:rPr>
                <w:b/>
                <w:color w:val="000000"/>
                <w:sz w:val="20"/>
                <w:szCs w:val="20"/>
              </w:rPr>
            </w:pPr>
            <w:r w:rsidRPr="002E7A6C">
              <w:rPr>
                <w:b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A6C" w:rsidRPr="002E7A6C" w:rsidRDefault="008D4A0E" w:rsidP="00786238">
            <w:pPr>
              <w:ind w:right="-3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-2,</w:t>
            </w:r>
            <w:r w:rsidR="00987D6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E7A6C" w:rsidRPr="002E7A6C" w:rsidRDefault="00FB3660" w:rsidP="00786238">
            <w:pPr>
              <w:ind w:right="-3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jc w:val="center"/>
              <w:rPr>
                <w:b/>
                <w:color w:val="000000"/>
                <w:sz w:val="20"/>
                <w:szCs w:val="20"/>
              </w:rPr>
            </w:pPr>
            <w:r w:rsidRPr="002E7A6C">
              <w:rPr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2E7A6C" w:rsidRPr="002E7A6C" w:rsidTr="00786238">
        <w:trPr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программная часть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7A6C" w:rsidRPr="002E7A6C" w:rsidRDefault="002E7A6C" w:rsidP="00FD76FF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A6C" w:rsidRPr="002E7A6C" w:rsidRDefault="002E7A6C" w:rsidP="00FD76FF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A6C" w:rsidRPr="002E7A6C" w:rsidRDefault="002E7A6C" w:rsidP="00FD76FF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2E7A6C" w:rsidRPr="002E7A6C" w:rsidRDefault="002E7A6C" w:rsidP="006E0B80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E7A6C" w:rsidRPr="002E7A6C" w:rsidRDefault="002E7A6C" w:rsidP="00FD76FF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7A6C" w:rsidRPr="002E7A6C" w:rsidTr="00FD76FF">
        <w:trPr>
          <w:trHeight w:val="255"/>
        </w:trPr>
        <w:tc>
          <w:tcPr>
            <w:tcW w:w="3544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rPr>
                <w:color w:val="000000"/>
                <w:sz w:val="20"/>
                <w:szCs w:val="20"/>
              </w:rPr>
            </w:pPr>
            <w:proofErr w:type="spellStart"/>
            <w:r w:rsidRPr="002E7A6C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2E7A6C">
              <w:rPr>
                <w:color w:val="000000"/>
                <w:sz w:val="20"/>
                <w:szCs w:val="20"/>
              </w:rPr>
              <w:t xml:space="preserve"> часть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6C" w:rsidRPr="002E7A6C" w:rsidRDefault="002E7A6C" w:rsidP="00FD76FF">
            <w:pPr>
              <w:ind w:right="-309"/>
              <w:jc w:val="center"/>
              <w:rPr>
                <w:b/>
                <w:color w:val="000000"/>
                <w:sz w:val="20"/>
                <w:szCs w:val="20"/>
              </w:rPr>
            </w:pPr>
            <w:r w:rsidRPr="002E7A6C">
              <w:rPr>
                <w:b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A6C" w:rsidRPr="002E7A6C" w:rsidRDefault="002E7A6C" w:rsidP="00FD76FF">
            <w:pPr>
              <w:ind w:right="-309"/>
              <w:jc w:val="center"/>
              <w:rPr>
                <w:b/>
                <w:color w:val="000000"/>
                <w:sz w:val="20"/>
                <w:szCs w:val="20"/>
              </w:rPr>
            </w:pPr>
            <w:r w:rsidRPr="002E7A6C">
              <w:rPr>
                <w:b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A6C" w:rsidRPr="002E7A6C" w:rsidRDefault="008D4A0E" w:rsidP="008D4A0E">
            <w:pPr>
              <w:ind w:right="-3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-2,</w:t>
            </w:r>
            <w:r w:rsidR="00987D6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E7A6C" w:rsidRPr="002E7A6C" w:rsidRDefault="00FB3660" w:rsidP="00FD76FF">
            <w:pPr>
              <w:ind w:right="-3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7A6C" w:rsidRPr="002E7A6C" w:rsidRDefault="002E7A6C" w:rsidP="00FD76FF">
            <w:pPr>
              <w:ind w:right="-309"/>
              <w:jc w:val="center"/>
              <w:rPr>
                <w:b/>
                <w:color w:val="000000"/>
                <w:sz w:val="20"/>
                <w:szCs w:val="20"/>
              </w:rPr>
            </w:pPr>
            <w:r w:rsidRPr="002E7A6C">
              <w:rPr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2E7A6C" w:rsidRPr="002E7A6C" w:rsidTr="00786238">
        <w:trPr>
          <w:trHeight w:val="256"/>
        </w:trPr>
        <w:tc>
          <w:tcPr>
            <w:tcW w:w="3544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rPr>
                <w:b/>
                <w:color w:val="000000"/>
                <w:sz w:val="20"/>
                <w:szCs w:val="20"/>
              </w:rPr>
            </w:pPr>
            <w:r w:rsidRPr="002E7A6C">
              <w:rPr>
                <w:b/>
                <w:color w:val="000000"/>
                <w:sz w:val="20"/>
                <w:szCs w:val="20"/>
              </w:rPr>
              <w:t>Межбюджетные трансферты***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jc w:val="center"/>
              <w:rPr>
                <w:b/>
                <w:color w:val="000000"/>
                <w:sz w:val="20"/>
                <w:szCs w:val="20"/>
              </w:rPr>
            </w:pPr>
            <w:r w:rsidRPr="002E7A6C">
              <w:rPr>
                <w:b/>
                <w:color w:val="000000"/>
                <w:sz w:val="20"/>
                <w:szCs w:val="20"/>
              </w:rPr>
              <w:t>11 178,8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jc w:val="center"/>
              <w:rPr>
                <w:b/>
                <w:color w:val="000000"/>
                <w:sz w:val="20"/>
                <w:szCs w:val="20"/>
              </w:rPr>
            </w:pPr>
            <w:r w:rsidRPr="002E7A6C">
              <w:rPr>
                <w:b/>
                <w:color w:val="000000"/>
                <w:sz w:val="20"/>
                <w:szCs w:val="20"/>
              </w:rPr>
              <w:t>11 178,8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jc w:val="center"/>
              <w:rPr>
                <w:b/>
                <w:color w:val="000000"/>
                <w:sz w:val="20"/>
                <w:szCs w:val="20"/>
              </w:rPr>
            </w:pPr>
            <w:r w:rsidRPr="002E7A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E7A6C" w:rsidRPr="002E7A6C" w:rsidRDefault="00FB3660" w:rsidP="00786238">
            <w:pPr>
              <w:ind w:right="-3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jc w:val="center"/>
              <w:rPr>
                <w:b/>
                <w:color w:val="000000"/>
                <w:sz w:val="20"/>
                <w:szCs w:val="20"/>
              </w:rPr>
            </w:pPr>
            <w:r w:rsidRPr="002E7A6C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2E7A6C" w:rsidRPr="002E7A6C" w:rsidTr="00786238">
        <w:trPr>
          <w:trHeight w:val="256"/>
        </w:trPr>
        <w:tc>
          <w:tcPr>
            <w:tcW w:w="3544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программная часть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7A6C" w:rsidRPr="002E7A6C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A6C" w:rsidRPr="002E7A6C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A6C" w:rsidRPr="002E7A6C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2E7A6C" w:rsidRPr="002E7A6C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E7A6C" w:rsidRPr="002E7A6C" w:rsidRDefault="002E7A6C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7A6C" w:rsidRPr="002E7A6C" w:rsidTr="00FD76FF">
        <w:trPr>
          <w:trHeight w:val="256"/>
        </w:trPr>
        <w:tc>
          <w:tcPr>
            <w:tcW w:w="3544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rPr>
                <w:color w:val="000000"/>
                <w:sz w:val="20"/>
                <w:szCs w:val="20"/>
              </w:rPr>
            </w:pPr>
            <w:proofErr w:type="spellStart"/>
            <w:r w:rsidRPr="002E7A6C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2E7A6C">
              <w:rPr>
                <w:color w:val="000000"/>
                <w:sz w:val="20"/>
                <w:szCs w:val="20"/>
              </w:rPr>
              <w:t xml:space="preserve"> часть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6C" w:rsidRPr="002E7A6C" w:rsidRDefault="002E7A6C" w:rsidP="00FD76FF">
            <w:pPr>
              <w:ind w:right="-309"/>
              <w:jc w:val="center"/>
              <w:rPr>
                <w:b/>
                <w:color w:val="000000"/>
                <w:sz w:val="20"/>
                <w:szCs w:val="20"/>
              </w:rPr>
            </w:pPr>
            <w:r w:rsidRPr="002E7A6C">
              <w:rPr>
                <w:b/>
                <w:color w:val="000000"/>
                <w:sz w:val="20"/>
                <w:szCs w:val="20"/>
              </w:rPr>
              <w:t>11 178,8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A6C" w:rsidRPr="002E7A6C" w:rsidRDefault="002E7A6C" w:rsidP="00FD76FF">
            <w:pPr>
              <w:ind w:right="-309"/>
              <w:jc w:val="center"/>
              <w:rPr>
                <w:b/>
                <w:color w:val="000000"/>
                <w:sz w:val="20"/>
                <w:szCs w:val="20"/>
              </w:rPr>
            </w:pPr>
            <w:r w:rsidRPr="002E7A6C">
              <w:rPr>
                <w:b/>
                <w:color w:val="000000"/>
                <w:sz w:val="20"/>
                <w:szCs w:val="20"/>
              </w:rPr>
              <w:t>11 178,8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A6C" w:rsidRPr="002E7A6C" w:rsidRDefault="002E7A6C" w:rsidP="00FD76FF">
            <w:pPr>
              <w:ind w:right="-309"/>
              <w:jc w:val="center"/>
              <w:rPr>
                <w:b/>
                <w:color w:val="000000"/>
                <w:sz w:val="20"/>
                <w:szCs w:val="20"/>
              </w:rPr>
            </w:pPr>
            <w:r w:rsidRPr="002E7A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E7A6C" w:rsidRPr="002E7A6C" w:rsidRDefault="00FB3660" w:rsidP="00FD76FF">
            <w:pPr>
              <w:ind w:right="-3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7A6C" w:rsidRPr="002E7A6C" w:rsidRDefault="002E7A6C" w:rsidP="00FD76FF">
            <w:pPr>
              <w:ind w:right="-309"/>
              <w:jc w:val="center"/>
              <w:rPr>
                <w:b/>
                <w:color w:val="000000"/>
                <w:sz w:val="20"/>
                <w:szCs w:val="20"/>
              </w:rPr>
            </w:pPr>
            <w:r w:rsidRPr="002E7A6C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2E7A6C" w:rsidRPr="002E7A6C" w:rsidTr="00786238">
        <w:trPr>
          <w:trHeight w:val="256"/>
        </w:trPr>
        <w:tc>
          <w:tcPr>
            <w:tcW w:w="3544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rPr>
                <w:b/>
                <w:bCs/>
                <w:color w:val="000000"/>
                <w:sz w:val="20"/>
                <w:szCs w:val="20"/>
              </w:rPr>
            </w:pPr>
            <w:r w:rsidRPr="002E7A6C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7A6C">
              <w:rPr>
                <w:b/>
                <w:bCs/>
                <w:color w:val="000000"/>
                <w:sz w:val="20"/>
                <w:szCs w:val="20"/>
              </w:rPr>
              <w:t>151 514,1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A6C" w:rsidRPr="002E7A6C" w:rsidRDefault="002E7A6C" w:rsidP="00E97442">
            <w:pPr>
              <w:ind w:right="-3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7A6C">
              <w:rPr>
                <w:b/>
                <w:bCs/>
                <w:color w:val="000000"/>
                <w:sz w:val="20"/>
                <w:szCs w:val="20"/>
              </w:rPr>
              <w:t>143 129,</w:t>
            </w:r>
            <w:r w:rsidR="00E9744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A6C" w:rsidRPr="002E7A6C" w:rsidRDefault="00FB3660" w:rsidP="003E14B6">
            <w:pPr>
              <w:ind w:right="-3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-8 38</w:t>
            </w:r>
            <w:r w:rsidR="003E14B6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E9744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jc w:val="center"/>
              <w:rPr>
                <w:b/>
                <w:bCs/>
                <w:sz w:val="20"/>
                <w:szCs w:val="20"/>
              </w:rPr>
            </w:pPr>
            <w:r w:rsidRPr="002E7A6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jc w:val="center"/>
              <w:rPr>
                <w:b/>
                <w:bCs/>
                <w:sz w:val="20"/>
                <w:szCs w:val="20"/>
              </w:rPr>
            </w:pPr>
            <w:r w:rsidRPr="002E7A6C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2E7A6C" w:rsidRPr="002E7A6C" w:rsidTr="00786238">
        <w:trPr>
          <w:trHeight w:val="256"/>
        </w:trPr>
        <w:tc>
          <w:tcPr>
            <w:tcW w:w="3544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rPr>
                <w:color w:val="000000"/>
                <w:sz w:val="20"/>
                <w:szCs w:val="20"/>
              </w:rPr>
            </w:pPr>
            <w:r w:rsidRPr="002E7A6C">
              <w:rPr>
                <w:color w:val="000000"/>
                <w:sz w:val="20"/>
                <w:szCs w:val="20"/>
              </w:rPr>
              <w:t>программная часть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7A6C" w:rsidRPr="002E7A6C" w:rsidRDefault="00FB3660" w:rsidP="00FB3660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96 457,4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A6C" w:rsidRPr="002E7A6C" w:rsidRDefault="00FB3660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92 377,0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A6C" w:rsidRPr="002E7A6C" w:rsidRDefault="00FB3660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-4 080,4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2E7A6C" w:rsidRPr="002E7A6C" w:rsidRDefault="00FB3660" w:rsidP="00FB3660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E7A6C" w:rsidRPr="002E7A6C" w:rsidRDefault="00FB3660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2E7A6C" w:rsidRPr="002E7A6C" w:rsidTr="00786238">
        <w:trPr>
          <w:trHeight w:val="60"/>
        </w:trPr>
        <w:tc>
          <w:tcPr>
            <w:tcW w:w="3544" w:type="dxa"/>
            <w:shd w:val="clear" w:color="auto" w:fill="auto"/>
            <w:vAlign w:val="center"/>
          </w:tcPr>
          <w:p w:rsidR="002E7A6C" w:rsidRPr="002E7A6C" w:rsidRDefault="002E7A6C" w:rsidP="00786238">
            <w:pPr>
              <w:ind w:right="-309"/>
              <w:rPr>
                <w:color w:val="000000"/>
                <w:sz w:val="20"/>
                <w:szCs w:val="20"/>
              </w:rPr>
            </w:pPr>
            <w:proofErr w:type="spellStart"/>
            <w:r w:rsidRPr="002E7A6C"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2E7A6C">
              <w:rPr>
                <w:color w:val="000000"/>
                <w:sz w:val="20"/>
                <w:szCs w:val="20"/>
              </w:rPr>
              <w:t xml:space="preserve"> часть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7A6C" w:rsidRPr="002E7A6C" w:rsidRDefault="00FB3660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55 056,7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A6C" w:rsidRPr="002E7A6C" w:rsidRDefault="00FB3660" w:rsidP="00E97442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50 752,</w:t>
            </w:r>
            <w:r w:rsidR="00E974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A6C" w:rsidRPr="002E7A6C" w:rsidRDefault="00FB3660" w:rsidP="00E97442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-4 303,</w:t>
            </w:r>
            <w:r w:rsidR="00E974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2E7A6C" w:rsidRPr="002E7A6C" w:rsidRDefault="00FB3660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E7A6C" w:rsidRPr="002E7A6C" w:rsidRDefault="00FB3660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8D4A0E" w:rsidRPr="002E7A6C" w:rsidTr="00786238">
        <w:trPr>
          <w:trHeight w:val="60"/>
        </w:trPr>
        <w:tc>
          <w:tcPr>
            <w:tcW w:w="3544" w:type="dxa"/>
            <w:shd w:val="clear" w:color="auto" w:fill="auto"/>
            <w:vAlign w:val="center"/>
          </w:tcPr>
          <w:p w:rsidR="008D4A0E" w:rsidRPr="002E7A6C" w:rsidRDefault="008D4A0E" w:rsidP="00786238">
            <w:pPr>
              <w:ind w:right="-309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D4A0E" w:rsidRDefault="008D4A0E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D4A0E" w:rsidRDefault="008D4A0E" w:rsidP="00E97442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D4A0E" w:rsidRDefault="008D4A0E" w:rsidP="00E97442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8D4A0E" w:rsidRDefault="008D4A0E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8D4A0E" w:rsidRDefault="008D4A0E" w:rsidP="00786238">
            <w:pPr>
              <w:ind w:right="-309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E3F84" w:rsidRDefault="00FE3F84" w:rsidP="00FE3F84">
      <w:pPr>
        <w:ind w:right="-309"/>
        <w:jc w:val="both"/>
        <w:rPr>
          <w:sz w:val="20"/>
          <w:szCs w:val="20"/>
        </w:rPr>
      </w:pPr>
      <w:r w:rsidRPr="002E7A6C">
        <w:rPr>
          <w:sz w:val="20"/>
          <w:szCs w:val="20"/>
        </w:rPr>
        <w:t xml:space="preserve">* бюджетные ассигнования по </w:t>
      </w:r>
      <w:r w:rsidR="00EA3535">
        <w:rPr>
          <w:sz w:val="20"/>
          <w:szCs w:val="20"/>
        </w:rPr>
        <w:t>муниципаль</w:t>
      </w:r>
      <w:r w:rsidRPr="002E7A6C">
        <w:rPr>
          <w:sz w:val="20"/>
          <w:szCs w:val="20"/>
        </w:rPr>
        <w:t xml:space="preserve">ным программам </w:t>
      </w:r>
      <w:proofErr w:type="spellStart"/>
      <w:r w:rsidR="00EA3535">
        <w:rPr>
          <w:sz w:val="20"/>
          <w:szCs w:val="20"/>
        </w:rPr>
        <w:t>Поддорского</w:t>
      </w:r>
      <w:proofErr w:type="spellEnd"/>
      <w:r w:rsidR="00EA3535">
        <w:rPr>
          <w:sz w:val="20"/>
          <w:szCs w:val="20"/>
        </w:rPr>
        <w:t xml:space="preserve"> муниципального района</w:t>
      </w:r>
    </w:p>
    <w:p w:rsidR="00FE3F84" w:rsidRDefault="00FE3F84" w:rsidP="00FE3F84">
      <w:pPr>
        <w:ind w:right="-3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бюджетные ассигнования по </w:t>
      </w:r>
      <w:proofErr w:type="spellStart"/>
      <w:r>
        <w:rPr>
          <w:sz w:val="20"/>
          <w:szCs w:val="20"/>
        </w:rPr>
        <w:t>непрограммным</w:t>
      </w:r>
      <w:proofErr w:type="spellEnd"/>
      <w:r>
        <w:rPr>
          <w:sz w:val="20"/>
          <w:szCs w:val="20"/>
        </w:rPr>
        <w:t xml:space="preserve"> направлениям деятельности</w:t>
      </w:r>
    </w:p>
    <w:p w:rsidR="00EA3535" w:rsidRDefault="00FE3F84" w:rsidP="00FE3F84">
      <w:pPr>
        <w:ind w:right="-309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>***</w:t>
      </w:r>
      <w:r w:rsidRPr="0041625E">
        <w:rPr>
          <w:color w:val="000000"/>
        </w:rPr>
        <w:t xml:space="preserve"> </w:t>
      </w:r>
      <w:r w:rsidRPr="0041625E">
        <w:rPr>
          <w:color w:val="000000"/>
          <w:sz w:val="20"/>
          <w:szCs w:val="20"/>
        </w:rPr>
        <w:t xml:space="preserve">межбюджетные трансферты общего характера бюджетам </w:t>
      </w:r>
      <w:r>
        <w:rPr>
          <w:color w:val="000000"/>
          <w:sz w:val="20"/>
          <w:szCs w:val="20"/>
        </w:rPr>
        <w:t>бюджетной системы</w:t>
      </w:r>
      <w:r w:rsidRPr="0041625E">
        <w:rPr>
          <w:color w:val="000000"/>
          <w:sz w:val="20"/>
          <w:szCs w:val="20"/>
        </w:rPr>
        <w:t xml:space="preserve"> Российской Федерации</w:t>
      </w:r>
    </w:p>
    <w:p w:rsidR="00FE3F84" w:rsidRPr="0041625E" w:rsidRDefault="00FE3F84" w:rsidP="00FE3F84">
      <w:pPr>
        <w:ind w:right="-309"/>
        <w:jc w:val="both"/>
        <w:rPr>
          <w:sz w:val="20"/>
          <w:szCs w:val="20"/>
        </w:rPr>
      </w:pPr>
      <w:r w:rsidRPr="0041625E">
        <w:rPr>
          <w:color w:val="000000"/>
          <w:sz w:val="20"/>
          <w:szCs w:val="20"/>
        </w:rPr>
        <w:t xml:space="preserve"> </w:t>
      </w:r>
    </w:p>
    <w:p w:rsidR="00037373" w:rsidRDefault="000803B6" w:rsidP="00FE3F84">
      <w:pPr>
        <w:autoSpaceDE w:val="0"/>
        <w:ind w:right="-309" w:firstLine="708"/>
        <w:jc w:val="both"/>
      </w:pPr>
      <w:proofErr w:type="gramStart"/>
      <w:r>
        <w:t>Кассовые расходы</w:t>
      </w:r>
      <w:r w:rsidR="00FE3F84" w:rsidRPr="00C64CEF">
        <w:t xml:space="preserve">  бюджета</w:t>
      </w:r>
      <w:r w:rsidR="00C64CEF" w:rsidRPr="00C64CEF">
        <w:t xml:space="preserve"> муниципального района</w:t>
      </w:r>
      <w:r w:rsidR="00FE3F84" w:rsidRPr="00C64CEF">
        <w:t xml:space="preserve"> </w:t>
      </w:r>
      <w:r>
        <w:t xml:space="preserve">в 2015 году составили </w:t>
      </w:r>
      <w:r w:rsidR="00EA3535">
        <w:t xml:space="preserve"> в сумме 143 129,9 тыс. рублей или</w:t>
      </w:r>
      <w:r w:rsidR="00C64CEF" w:rsidRPr="00C64CEF">
        <w:t xml:space="preserve"> на 94,5</w:t>
      </w:r>
      <w:r w:rsidR="00FE3F84" w:rsidRPr="00C64CEF">
        <w:t xml:space="preserve"> процента к уточненному плану</w:t>
      </w:r>
      <w:r w:rsidR="00EA3535">
        <w:t xml:space="preserve"> на 2015 год в размере 151 514,1 тыс. </w:t>
      </w:r>
      <w:r w:rsidR="00EA3535" w:rsidRPr="0089023E">
        <w:t>рублей</w:t>
      </w:r>
      <w:r w:rsidR="005F62DD" w:rsidRPr="0089023E">
        <w:t>,</w:t>
      </w:r>
      <w:r w:rsidR="00FE3F84" w:rsidRPr="0089023E">
        <w:t xml:space="preserve"> </w:t>
      </w:r>
      <w:r w:rsidR="005F62DD" w:rsidRPr="0089023E">
        <w:t>включая неиспользованные остатки средств выделенных на «Иные цели» по ремонту учреждений образования   по состоянию на 01.01.2015 в сумме 1</w:t>
      </w:r>
      <w:r w:rsidR="00D8146B" w:rsidRPr="0089023E">
        <w:t> 555 641,29</w:t>
      </w:r>
      <w:r w:rsidR="005F62DD" w:rsidRPr="0089023E">
        <w:t xml:space="preserve"> рублей (образование – 1</w:t>
      </w:r>
      <w:r w:rsidR="00C23105" w:rsidRPr="0089023E">
        <w:t>366 888,15</w:t>
      </w:r>
      <w:r w:rsidR="005F62DD" w:rsidRPr="0089023E">
        <w:t xml:space="preserve"> рублей и музыкальная школа</w:t>
      </w:r>
      <w:proofErr w:type="gramEnd"/>
      <w:r w:rsidR="005F62DD" w:rsidRPr="0089023E">
        <w:t xml:space="preserve"> – </w:t>
      </w:r>
      <w:proofErr w:type="gramStart"/>
      <w:r w:rsidR="005F62DD" w:rsidRPr="0089023E">
        <w:t>188 753,14 рублей из средства  бюджета муниципального района).</w:t>
      </w:r>
      <w:r w:rsidR="00037373">
        <w:t xml:space="preserve"> </w:t>
      </w:r>
      <w:proofErr w:type="gramEnd"/>
    </w:p>
    <w:p w:rsidR="00FE3F84" w:rsidRPr="0089023E" w:rsidRDefault="00C525AF" w:rsidP="00FE3F84">
      <w:pPr>
        <w:autoSpaceDE w:val="0"/>
        <w:ind w:right="-309" w:firstLine="708"/>
        <w:jc w:val="both"/>
      </w:pPr>
      <w:r>
        <w:t xml:space="preserve">Неиспользованные остатки </w:t>
      </w:r>
      <w:r w:rsidR="00037373">
        <w:t xml:space="preserve">денежных средств </w:t>
      </w:r>
      <w:r>
        <w:t>субвенции из областного бюджета по образованию на 01.01.2016 года составили в сумме 223 607,23</w:t>
      </w:r>
      <w:r w:rsidR="008B7C40">
        <w:t xml:space="preserve"> рублей (МОУ «СОШ с</w:t>
      </w:r>
      <w:proofErr w:type="gramStart"/>
      <w:r w:rsidR="008B7C40">
        <w:t>.П</w:t>
      </w:r>
      <w:proofErr w:type="gramEnd"/>
      <w:r w:rsidR="008B7C40">
        <w:t>оддорье» на подвоз учащихся в январе 2016 года).</w:t>
      </w:r>
    </w:p>
    <w:p w:rsidR="00FE3F84" w:rsidRDefault="00FE3F84" w:rsidP="00FE3F84">
      <w:pPr>
        <w:ind w:right="-309" w:firstLine="708"/>
        <w:jc w:val="both"/>
      </w:pPr>
      <w:r w:rsidRPr="00C64CEF">
        <w:t>В 201</w:t>
      </w:r>
      <w:r w:rsidR="00C64CEF" w:rsidRPr="00C64CEF">
        <w:t>5</w:t>
      </w:r>
      <w:r w:rsidRPr="00C64CEF">
        <w:t xml:space="preserve"> году </w:t>
      </w:r>
      <w:r w:rsidR="00C64CEF" w:rsidRPr="00C64CEF">
        <w:t>решением</w:t>
      </w:r>
      <w:r w:rsidRPr="00C64CEF">
        <w:t xml:space="preserve"> о бюджет</w:t>
      </w:r>
      <w:r w:rsidR="00C64CEF" w:rsidRPr="00C64CEF">
        <w:t>е предусмотрено финансирование 19</w:t>
      </w:r>
      <w:r w:rsidRPr="00C64CEF">
        <w:t xml:space="preserve"> </w:t>
      </w:r>
      <w:r w:rsidR="00C64CEF" w:rsidRPr="005F62DD">
        <w:t>муниципаль</w:t>
      </w:r>
      <w:r w:rsidRPr="005F62DD">
        <w:t>ных программ, на реализацию которых предусматр</w:t>
      </w:r>
      <w:r w:rsidR="00C64CEF" w:rsidRPr="005F62DD">
        <w:t xml:space="preserve">ивалось направление средств из </w:t>
      </w:r>
      <w:r w:rsidRPr="005F62DD">
        <w:t>бю</w:t>
      </w:r>
      <w:r w:rsidRPr="00C64CEF">
        <w:t>джета</w:t>
      </w:r>
      <w:r w:rsidR="00C64CEF" w:rsidRPr="00C64CEF">
        <w:t xml:space="preserve">        муниципального района</w:t>
      </w:r>
      <w:r w:rsidRPr="00C64CEF">
        <w:t xml:space="preserve"> в сумме  </w:t>
      </w:r>
      <w:r w:rsidR="00C64CEF" w:rsidRPr="00C64CEF">
        <w:t>96 457,4 тыс.</w:t>
      </w:r>
      <w:r w:rsidRPr="00C64CEF">
        <w:t xml:space="preserve"> рублей, факт</w:t>
      </w:r>
      <w:r w:rsidR="00C64CEF" w:rsidRPr="00C64CEF">
        <w:t>ическое исполнение составило  92 377,0 тыс</w:t>
      </w:r>
      <w:r w:rsidRPr="00C64CEF">
        <w:t>. рублей или 95</w:t>
      </w:r>
      <w:r w:rsidR="00C64CEF" w:rsidRPr="00C64CEF">
        <w:t>,8</w:t>
      </w:r>
      <w:r w:rsidRPr="00C64CEF">
        <w:t xml:space="preserve"> процент</w:t>
      </w:r>
      <w:r w:rsidR="00C64CEF" w:rsidRPr="00C64CEF">
        <w:t>ов</w:t>
      </w:r>
      <w:r w:rsidRPr="00C64CEF">
        <w:t xml:space="preserve"> к уточненному плану. Удельный вес расходов в </w:t>
      </w:r>
      <w:r w:rsidR="00C64CEF" w:rsidRPr="00C64CEF">
        <w:t>программном формате составил  64,5</w:t>
      </w:r>
      <w:r w:rsidRPr="00C64CEF">
        <w:t xml:space="preserve"> процент</w:t>
      </w:r>
      <w:r w:rsidR="00C64CEF" w:rsidRPr="00C64CEF">
        <w:t>ов</w:t>
      </w:r>
      <w:r w:rsidRPr="00C64CEF">
        <w:t xml:space="preserve"> от общего объёма расходов  бюджета</w:t>
      </w:r>
      <w:r w:rsidR="00C64CEF" w:rsidRPr="00C64CEF">
        <w:t xml:space="preserve"> муни</w:t>
      </w:r>
      <w:r w:rsidR="00C64CEF" w:rsidRPr="00FD76FF">
        <w:t>ципального района</w:t>
      </w:r>
      <w:r w:rsidRPr="00FD76FF">
        <w:t>.</w:t>
      </w:r>
    </w:p>
    <w:p w:rsidR="00F359CA" w:rsidRPr="003A6074" w:rsidRDefault="00F359CA" w:rsidP="00F359CA">
      <w:pPr>
        <w:jc w:val="both"/>
      </w:pPr>
      <w:r w:rsidRPr="003A6074">
        <w:t xml:space="preserve">     </w:t>
      </w:r>
      <w:r w:rsidR="0061447D">
        <w:t xml:space="preserve">      О</w:t>
      </w:r>
      <w:r w:rsidRPr="003A6074">
        <w:t xml:space="preserve">бъем </w:t>
      </w:r>
      <w:r w:rsidR="0061447D">
        <w:t>финансирования</w:t>
      </w:r>
      <w:r w:rsidRPr="003A6074">
        <w:t xml:space="preserve"> муниципальных  программ составил в сумме 92 377 020 рубля 50</w:t>
      </w:r>
      <w:r>
        <w:t xml:space="preserve"> копейка</w:t>
      </w:r>
      <w:r w:rsidRPr="003A6074">
        <w:t>, из них за счет финансирования из областного бюджета – 43 610 600 рублей, освоено в сумме 42 071 477 руб.64 коп.(45,5 %) или  на 96,5 процента;</w:t>
      </w:r>
    </w:p>
    <w:p w:rsidR="00F359CA" w:rsidRPr="003A6074" w:rsidRDefault="00F359CA" w:rsidP="00F359CA">
      <w:pPr>
        <w:jc w:val="both"/>
      </w:pPr>
      <w:r w:rsidRPr="003A6074">
        <w:t>-из федерального бюджета в сумме  1 006,8 тыс. рублей (или 1,1 процента), освоено полностью на 100,0 процентов;</w:t>
      </w:r>
    </w:p>
    <w:p w:rsidR="00F359CA" w:rsidRPr="003A6074" w:rsidRDefault="00F359CA" w:rsidP="00F359CA">
      <w:pPr>
        <w:jc w:val="both"/>
      </w:pPr>
      <w:r w:rsidRPr="003A6074">
        <w:t>- из бюджетов сельских поселений освоено в сумме 3 028 356 рублей (3,3 %) или на 100 процентов;</w:t>
      </w:r>
    </w:p>
    <w:p w:rsidR="00F359CA" w:rsidRDefault="00F359CA" w:rsidP="00F359CA">
      <w:pPr>
        <w:jc w:val="both"/>
      </w:pPr>
      <w:r w:rsidRPr="003A6074">
        <w:t>-из бюджета муниципального района определено финансирование на 2015 год по выполнению мероприятий муниципальных программ в сумме 48 811 653 руб.89 коп</w:t>
      </w:r>
      <w:proofErr w:type="gramStart"/>
      <w:r w:rsidRPr="003A6074">
        <w:t xml:space="preserve">., </w:t>
      </w:r>
      <w:proofErr w:type="gramEnd"/>
      <w:r w:rsidRPr="003A6074">
        <w:t>кассовый расход составил в сумме 46 270 386 руб.86 коп.(50,1 %) или на 94,8 процента.</w:t>
      </w:r>
    </w:p>
    <w:p w:rsidR="00F359CA" w:rsidRPr="00FD76FF" w:rsidRDefault="00F359CA" w:rsidP="00FE3F84">
      <w:pPr>
        <w:ind w:right="-309" w:firstLine="708"/>
        <w:jc w:val="both"/>
      </w:pPr>
    </w:p>
    <w:p w:rsidR="00FE3F84" w:rsidRDefault="00FE3F84" w:rsidP="00FE3F84">
      <w:pPr>
        <w:ind w:right="-309" w:firstLine="708"/>
        <w:jc w:val="both"/>
      </w:pPr>
      <w:r w:rsidRPr="00FD76FF">
        <w:t xml:space="preserve">На финансирование </w:t>
      </w:r>
      <w:proofErr w:type="spellStart"/>
      <w:r w:rsidRPr="00FD76FF">
        <w:t>непрограммных</w:t>
      </w:r>
      <w:proofErr w:type="spellEnd"/>
      <w:r w:rsidRPr="00FD76FF">
        <w:t xml:space="preserve"> направлений деятельности предусматривалось направление средств  бюджета в сумме </w:t>
      </w:r>
      <w:r w:rsidR="00FD76FF" w:rsidRPr="00FD76FF">
        <w:t xml:space="preserve"> 55 056,7 тыс. рублей (36</w:t>
      </w:r>
      <w:r w:rsidRPr="00FD76FF">
        <w:t>,</w:t>
      </w:r>
      <w:r w:rsidR="00FD76FF" w:rsidRPr="00FD76FF">
        <w:t>3</w:t>
      </w:r>
      <w:r w:rsidRPr="00FD76FF">
        <w:t xml:space="preserve"> процент</w:t>
      </w:r>
      <w:r w:rsidR="00FD76FF" w:rsidRPr="00FD76FF">
        <w:t xml:space="preserve">ов от общего объёма расходов </w:t>
      </w:r>
      <w:r w:rsidRPr="00FD76FF">
        <w:t>бюджета</w:t>
      </w:r>
      <w:r w:rsidR="00FD76FF" w:rsidRPr="00FD76FF">
        <w:t xml:space="preserve"> муниципального района</w:t>
      </w:r>
      <w:r w:rsidRPr="00FD76FF">
        <w:t xml:space="preserve">), фактическое исполнение составило </w:t>
      </w:r>
      <w:r w:rsidR="00FD76FF" w:rsidRPr="00FD76FF">
        <w:t>50 752,9</w:t>
      </w:r>
      <w:r w:rsidRPr="00FD76FF">
        <w:t xml:space="preserve"> рублей или 9</w:t>
      </w:r>
      <w:r w:rsidR="00FD76FF" w:rsidRPr="00FD76FF">
        <w:t>2,2</w:t>
      </w:r>
      <w:r w:rsidRPr="00FD76FF">
        <w:t xml:space="preserve"> процента к уточненному плану.</w:t>
      </w:r>
    </w:p>
    <w:p w:rsidR="008B7C40" w:rsidRPr="00FD76FF" w:rsidRDefault="008B7C40" w:rsidP="00FE3F84">
      <w:pPr>
        <w:ind w:right="-309" w:firstLine="708"/>
        <w:jc w:val="both"/>
      </w:pPr>
    </w:p>
    <w:p w:rsidR="006C38D8" w:rsidRDefault="00FE3F84" w:rsidP="00FE3F84">
      <w:pPr>
        <w:ind w:right="-309" w:firstLine="708"/>
        <w:jc w:val="both"/>
      </w:pPr>
      <w:r w:rsidRPr="00FD76FF">
        <w:t xml:space="preserve">В целом по бюджету </w:t>
      </w:r>
      <w:r w:rsidR="00FD76FF" w:rsidRPr="00FD76FF">
        <w:t xml:space="preserve">муниципального района </w:t>
      </w:r>
      <w:r w:rsidRPr="00FD76FF">
        <w:t>объем неисполненных бюджетных ассигнований в 201</w:t>
      </w:r>
      <w:r w:rsidR="00FD76FF" w:rsidRPr="00FD76FF">
        <w:t xml:space="preserve">5 году составил </w:t>
      </w:r>
      <w:r w:rsidR="00FD76FF" w:rsidRPr="006C38D8">
        <w:rPr>
          <w:b/>
        </w:rPr>
        <w:t>8 38</w:t>
      </w:r>
      <w:r w:rsidR="00E118D1" w:rsidRPr="006C38D8">
        <w:rPr>
          <w:b/>
        </w:rPr>
        <w:t>5</w:t>
      </w:r>
      <w:r w:rsidR="00FD76FF" w:rsidRPr="006C38D8">
        <w:rPr>
          <w:b/>
        </w:rPr>
        <w:t>,</w:t>
      </w:r>
      <w:r w:rsidR="00E118D1" w:rsidRPr="006C38D8">
        <w:rPr>
          <w:b/>
        </w:rPr>
        <w:t>1</w:t>
      </w:r>
      <w:r w:rsidRPr="006C38D8">
        <w:rPr>
          <w:b/>
        </w:rPr>
        <w:t xml:space="preserve"> рублей</w:t>
      </w:r>
      <w:r w:rsidRPr="00FD76FF">
        <w:t>, из них предусмотрен</w:t>
      </w:r>
      <w:r w:rsidR="00FD76FF" w:rsidRPr="00FD76FF">
        <w:t>ных  на реализацию мероприятий муниципальн</w:t>
      </w:r>
      <w:r w:rsidRPr="00FD76FF">
        <w:t xml:space="preserve">ых  </w:t>
      </w:r>
      <w:r w:rsidRPr="00E118D1">
        <w:t xml:space="preserve">программ – </w:t>
      </w:r>
      <w:r w:rsidR="00FD76FF" w:rsidRPr="00E118D1">
        <w:t>4 080,4 тыс</w:t>
      </w:r>
      <w:r w:rsidRPr="00E118D1">
        <w:t xml:space="preserve">. рублей, </w:t>
      </w:r>
      <w:proofErr w:type="spellStart"/>
      <w:r w:rsidRPr="00E118D1">
        <w:t>непрограммных</w:t>
      </w:r>
      <w:proofErr w:type="spellEnd"/>
      <w:r w:rsidRPr="00E118D1">
        <w:t xml:space="preserve"> направлений деятельности – </w:t>
      </w:r>
      <w:r w:rsidR="00FD76FF" w:rsidRPr="00E118D1">
        <w:t>4</w:t>
      </w:r>
      <w:r w:rsidR="00E118D1" w:rsidRPr="00E118D1">
        <w:t> </w:t>
      </w:r>
      <w:r w:rsidR="00FD76FF" w:rsidRPr="00E118D1">
        <w:t>30</w:t>
      </w:r>
      <w:r w:rsidR="00E118D1" w:rsidRPr="00E118D1">
        <w:t>4,7</w:t>
      </w:r>
      <w:r w:rsidR="00FD76FF" w:rsidRPr="00E118D1">
        <w:t xml:space="preserve"> тыс.</w:t>
      </w:r>
      <w:r w:rsidRPr="00E118D1">
        <w:t xml:space="preserve"> рублей.</w:t>
      </w:r>
      <w:r w:rsidR="008B7C40" w:rsidRPr="008B7C40">
        <w:t xml:space="preserve"> </w:t>
      </w:r>
      <w:r w:rsidR="008B7C40">
        <w:t xml:space="preserve">Неиспользованные остатки субвенции из областного бюджета по образованию на 01.01.2016 года составили в сумме 223,6 тыс. рублей (образование). </w:t>
      </w:r>
    </w:p>
    <w:p w:rsidR="00FE3F84" w:rsidRDefault="00FE3F84" w:rsidP="00FE3F84">
      <w:pPr>
        <w:ind w:right="-309" w:firstLine="708"/>
        <w:jc w:val="both"/>
      </w:pPr>
      <w:r w:rsidRPr="00E118D1">
        <w:t>В ходе подготовки настоящего заключения проанализированы причины не</w:t>
      </w:r>
      <w:r w:rsidR="008B7C40">
        <w:t xml:space="preserve"> </w:t>
      </w:r>
      <w:r w:rsidRPr="00E118D1">
        <w:t>освоения бюджетных ассигнований</w:t>
      </w:r>
      <w:r w:rsidRPr="00FD76FF">
        <w:t>, к которым относятся:</w:t>
      </w:r>
    </w:p>
    <w:p w:rsidR="0082707A" w:rsidRPr="0089023E" w:rsidRDefault="00FE3F84" w:rsidP="00FE3F84">
      <w:pPr>
        <w:ind w:right="-309" w:firstLine="708"/>
        <w:jc w:val="both"/>
        <w:rPr>
          <w:b/>
        </w:rPr>
      </w:pPr>
      <w:r w:rsidRPr="00EA3535">
        <w:rPr>
          <w:b/>
        </w:rPr>
        <w:t xml:space="preserve">1) отсутствие </w:t>
      </w:r>
      <w:r w:rsidRPr="0089023E">
        <w:rPr>
          <w:b/>
        </w:rPr>
        <w:t>потребности (</w:t>
      </w:r>
      <w:r w:rsidR="000A38D8">
        <w:rPr>
          <w:b/>
        </w:rPr>
        <w:t>4</w:t>
      </w:r>
      <w:r w:rsidR="00A01026">
        <w:rPr>
          <w:b/>
        </w:rPr>
        <w:t> 636,1</w:t>
      </w:r>
      <w:r w:rsidR="00EA3535" w:rsidRPr="0089023E">
        <w:rPr>
          <w:b/>
        </w:rPr>
        <w:t xml:space="preserve"> тыс</w:t>
      </w:r>
      <w:proofErr w:type="gramStart"/>
      <w:r w:rsidR="00EA3535" w:rsidRPr="0089023E">
        <w:rPr>
          <w:b/>
        </w:rPr>
        <w:t>.</w:t>
      </w:r>
      <w:r w:rsidRPr="0089023E">
        <w:rPr>
          <w:b/>
        </w:rPr>
        <w:t>р</w:t>
      </w:r>
      <w:proofErr w:type="gramEnd"/>
      <w:r w:rsidRPr="0089023E">
        <w:rPr>
          <w:b/>
        </w:rPr>
        <w:t xml:space="preserve">ублей), в том числе по </w:t>
      </w:r>
      <w:r w:rsidR="00EA3535" w:rsidRPr="0089023E">
        <w:rPr>
          <w:b/>
        </w:rPr>
        <w:t>муниципальным программам (</w:t>
      </w:r>
      <w:r w:rsidR="00A01026">
        <w:rPr>
          <w:b/>
        </w:rPr>
        <w:t>1 404,9</w:t>
      </w:r>
      <w:r w:rsidR="00EA3535" w:rsidRPr="0089023E">
        <w:rPr>
          <w:b/>
        </w:rPr>
        <w:t xml:space="preserve"> тыс</w:t>
      </w:r>
      <w:r w:rsidRPr="0089023E">
        <w:rPr>
          <w:b/>
        </w:rPr>
        <w:t>. рублей):</w:t>
      </w:r>
    </w:p>
    <w:p w:rsidR="007369E6" w:rsidRPr="00A01026" w:rsidRDefault="00ED50E5" w:rsidP="00FE3F84">
      <w:pPr>
        <w:ind w:right="-309" w:firstLine="708"/>
        <w:jc w:val="both"/>
        <w:rPr>
          <w:b/>
        </w:rPr>
      </w:pPr>
      <w:r w:rsidRPr="0089023E">
        <w:rPr>
          <w:b/>
        </w:rPr>
        <w:t>-</w:t>
      </w:r>
      <w:r w:rsidR="00FE3F84" w:rsidRPr="0089023E">
        <w:rPr>
          <w:b/>
        </w:rPr>
        <w:t xml:space="preserve"> </w:t>
      </w:r>
      <w:r w:rsidRPr="0089023E">
        <w:rPr>
          <w:b/>
        </w:rPr>
        <w:t xml:space="preserve">по </w:t>
      </w:r>
      <w:proofErr w:type="spellStart"/>
      <w:r w:rsidR="0082707A" w:rsidRPr="0089023E">
        <w:rPr>
          <w:b/>
        </w:rPr>
        <w:t>непрограмны</w:t>
      </w:r>
      <w:r w:rsidRPr="0089023E">
        <w:rPr>
          <w:b/>
        </w:rPr>
        <w:t>м</w:t>
      </w:r>
      <w:proofErr w:type="spellEnd"/>
      <w:r w:rsidR="0082707A" w:rsidRPr="0089023E">
        <w:rPr>
          <w:b/>
        </w:rPr>
        <w:t xml:space="preserve"> </w:t>
      </w:r>
      <w:r w:rsidR="0082707A" w:rsidRPr="00A01026">
        <w:rPr>
          <w:b/>
        </w:rPr>
        <w:t>расход</w:t>
      </w:r>
      <w:r w:rsidRPr="00A01026">
        <w:rPr>
          <w:b/>
        </w:rPr>
        <w:t>ам</w:t>
      </w:r>
      <w:r w:rsidR="007369E6" w:rsidRPr="00A01026">
        <w:rPr>
          <w:b/>
        </w:rPr>
        <w:t xml:space="preserve"> в сумме</w:t>
      </w:r>
      <w:r w:rsidR="000A38D8" w:rsidRPr="00A01026">
        <w:rPr>
          <w:b/>
        </w:rPr>
        <w:t xml:space="preserve">  3</w:t>
      </w:r>
      <w:r w:rsidR="00987D63" w:rsidRPr="00A01026">
        <w:rPr>
          <w:b/>
        </w:rPr>
        <w:t> 231,</w:t>
      </w:r>
      <w:r w:rsidR="00A01026" w:rsidRPr="00A01026">
        <w:rPr>
          <w:b/>
        </w:rPr>
        <w:t>2</w:t>
      </w:r>
      <w:r w:rsidR="007369E6" w:rsidRPr="00A01026">
        <w:rPr>
          <w:b/>
        </w:rPr>
        <w:t xml:space="preserve">  тыс. рублей:</w:t>
      </w:r>
    </w:p>
    <w:p w:rsidR="0082707A" w:rsidRPr="00A01026" w:rsidRDefault="007369E6" w:rsidP="007369E6">
      <w:pPr>
        <w:ind w:right="-309"/>
        <w:jc w:val="both"/>
        <w:rPr>
          <w:color w:val="000000"/>
        </w:rPr>
      </w:pPr>
      <w:r w:rsidRPr="00A01026">
        <w:rPr>
          <w:b/>
        </w:rPr>
        <w:t>-</w:t>
      </w:r>
      <w:r w:rsidR="00ED50E5" w:rsidRPr="00A01026">
        <w:rPr>
          <w:b/>
        </w:rPr>
        <w:t xml:space="preserve"> по </w:t>
      </w:r>
      <w:r w:rsidR="00384E1A" w:rsidRPr="00A01026">
        <w:rPr>
          <w:b/>
        </w:rPr>
        <w:t xml:space="preserve">разделу 10 </w:t>
      </w:r>
      <w:r w:rsidR="00FE3F84" w:rsidRPr="00A01026">
        <w:rPr>
          <w:b/>
        </w:rPr>
        <w:t>«</w:t>
      </w:r>
      <w:r w:rsidR="00EA3535" w:rsidRPr="00A01026">
        <w:rPr>
          <w:color w:val="000000"/>
        </w:rPr>
        <w:t>Социальн</w:t>
      </w:r>
      <w:r w:rsidR="00ED50E5" w:rsidRPr="00A01026">
        <w:rPr>
          <w:color w:val="000000"/>
        </w:rPr>
        <w:t>ой</w:t>
      </w:r>
      <w:r w:rsidR="00EA3535" w:rsidRPr="00A01026">
        <w:rPr>
          <w:color w:val="000000"/>
        </w:rPr>
        <w:t xml:space="preserve"> политик</w:t>
      </w:r>
      <w:r w:rsidR="00ED50E5" w:rsidRPr="00A01026">
        <w:rPr>
          <w:color w:val="000000"/>
        </w:rPr>
        <w:t>е</w:t>
      </w:r>
      <w:r w:rsidR="00EA3535" w:rsidRPr="00A01026">
        <w:rPr>
          <w:color w:val="000000"/>
        </w:rPr>
        <w:t>»</w:t>
      </w:r>
      <w:r w:rsidR="00FE3F84" w:rsidRPr="00A01026">
        <w:rPr>
          <w:color w:val="000000"/>
        </w:rPr>
        <w:t xml:space="preserve"> -</w:t>
      </w:r>
      <w:r w:rsidR="00ED50E5" w:rsidRPr="00A01026">
        <w:rPr>
          <w:color w:val="000000"/>
        </w:rPr>
        <w:t xml:space="preserve"> </w:t>
      </w:r>
      <w:r w:rsidR="00EA3535" w:rsidRPr="00A01026">
        <w:rPr>
          <w:color w:val="000000"/>
        </w:rPr>
        <w:t>3 </w:t>
      </w:r>
      <w:r w:rsidR="0082707A" w:rsidRPr="00A01026">
        <w:rPr>
          <w:color w:val="000000"/>
        </w:rPr>
        <w:t>228</w:t>
      </w:r>
      <w:r w:rsidR="00EA3535" w:rsidRPr="00A01026">
        <w:rPr>
          <w:color w:val="000000"/>
        </w:rPr>
        <w:t>,</w:t>
      </w:r>
      <w:r w:rsidR="00A01026" w:rsidRPr="00A01026">
        <w:rPr>
          <w:color w:val="000000"/>
        </w:rPr>
        <w:t>3</w:t>
      </w:r>
      <w:r w:rsidR="00EA3535" w:rsidRPr="00A01026">
        <w:rPr>
          <w:color w:val="000000"/>
        </w:rPr>
        <w:t xml:space="preserve"> тыс</w:t>
      </w:r>
      <w:proofErr w:type="gramStart"/>
      <w:r w:rsidR="00FE3F84" w:rsidRPr="00A01026">
        <w:rPr>
          <w:color w:val="000000"/>
        </w:rPr>
        <w:t>.р</w:t>
      </w:r>
      <w:proofErr w:type="gramEnd"/>
      <w:r w:rsidR="00FE3F84" w:rsidRPr="00A01026">
        <w:rPr>
          <w:color w:val="000000"/>
        </w:rPr>
        <w:t>ублей (уменьшение числа льготных категорий граждан, получающим меры социальной поддержки</w:t>
      </w:r>
      <w:r w:rsidR="00EA3535" w:rsidRPr="00A01026">
        <w:rPr>
          <w:color w:val="000000"/>
        </w:rPr>
        <w:t>,</w:t>
      </w:r>
    </w:p>
    <w:p w:rsidR="00D03784" w:rsidRPr="00A01026" w:rsidRDefault="00D03784" w:rsidP="007369E6">
      <w:pPr>
        <w:ind w:right="-309"/>
        <w:jc w:val="both"/>
        <w:rPr>
          <w:color w:val="000000"/>
        </w:rPr>
      </w:pPr>
      <w:r w:rsidRPr="00A01026">
        <w:rPr>
          <w:color w:val="000000"/>
        </w:rPr>
        <w:t>-</w:t>
      </w:r>
      <w:r w:rsidR="007369E6" w:rsidRPr="00A01026">
        <w:rPr>
          <w:color w:val="000000"/>
        </w:rPr>
        <w:t>по разделу 13 «</w:t>
      </w:r>
      <w:r w:rsidRPr="00A01026">
        <w:rPr>
          <w:color w:val="000000"/>
        </w:rPr>
        <w:t xml:space="preserve">Обслуживание </w:t>
      </w:r>
      <w:r w:rsidR="007369E6" w:rsidRPr="00A01026">
        <w:rPr>
          <w:color w:val="000000"/>
        </w:rPr>
        <w:t xml:space="preserve">государственного и </w:t>
      </w:r>
      <w:r w:rsidRPr="00A01026">
        <w:rPr>
          <w:color w:val="000000"/>
        </w:rPr>
        <w:t>муниципального долга</w:t>
      </w:r>
      <w:r w:rsidR="007369E6" w:rsidRPr="00A01026">
        <w:rPr>
          <w:color w:val="000000"/>
        </w:rPr>
        <w:t>»</w:t>
      </w:r>
      <w:r w:rsidRPr="00A01026">
        <w:rPr>
          <w:color w:val="000000"/>
        </w:rPr>
        <w:t xml:space="preserve"> – </w:t>
      </w:r>
      <w:r w:rsidR="008D4A0E" w:rsidRPr="00A01026">
        <w:rPr>
          <w:color w:val="000000"/>
        </w:rPr>
        <w:t>2,</w:t>
      </w:r>
      <w:r w:rsidR="00987D63" w:rsidRPr="00A01026">
        <w:rPr>
          <w:color w:val="000000"/>
        </w:rPr>
        <w:t>9</w:t>
      </w:r>
      <w:r w:rsidRPr="00A01026">
        <w:rPr>
          <w:color w:val="000000"/>
        </w:rPr>
        <w:t xml:space="preserve"> тыс. рублей</w:t>
      </w:r>
      <w:r w:rsidR="00384E1A" w:rsidRPr="00A01026">
        <w:rPr>
          <w:color w:val="000000"/>
        </w:rPr>
        <w:t>;</w:t>
      </w:r>
    </w:p>
    <w:p w:rsidR="004856B7" w:rsidRPr="00A01026" w:rsidRDefault="004856B7" w:rsidP="00FE3F84">
      <w:pPr>
        <w:ind w:right="-309" w:firstLine="708"/>
        <w:jc w:val="both"/>
        <w:rPr>
          <w:color w:val="000000"/>
        </w:rPr>
      </w:pPr>
    </w:p>
    <w:p w:rsidR="003134F9" w:rsidRPr="0089023E" w:rsidRDefault="00384E1A" w:rsidP="007369E6">
      <w:pPr>
        <w:ind w:right="-309"/>
        <w:jc w:val="both"/>
        <w:rPr>
          <w:bCs/>
        </w:rPr>
      </w:pPr>
      <w:r w:rsidRPr="00A01026">
        <w:rPr>
          <w:b/>
          <w:bCs/>
        </w:rPr>
        <w:t>- по муниципальн</w:t>
      </w:r>
      <w:r w:rsidR="007369E6" w:rsidRPr="00A01026">
        <w:rPr>
          <w:b/>
          <w:bCs/>
        </w:rPr>
        <w:t>ым</w:t>
      </w:r>
      <w:r w:rsidR="0082707A" w:rsidRPr="00A01026">
        <w:rPr>
          <w:b/>
          <w:bCs/>
        </w:rPr>
        <w:t xml:space="preserve"> программ</w:t>
      </w:r>
      <w:r w:rsidR="007369E6" w:rsidRPr="00A01026">
        <w:rPr>
          <w:b/>
          <w:bCs/>
        </w:rPr>
        <w:t xml:space="preserve">ам в сумме </w:t>
      </w:r>
      <w:r w:rsidR="00AD15C3" w:rsidRPr="00A01026">
        <w:rPr>
          <w:b/>
          <w:bCs/>
        </w:rPr>
        <w:t>1</w:t>
      </w:r>
      <w:r w:rsidR="00BA02FB" w:rsidRPr="00A01026">
        <w:rPr>
          <w:b/>
          <w:bCs/>
        </w:rPr>
        <w:t> 4</w:t>
      </w:r>
      <w:r w:rsidR="00A01026" w:rsidRPr="00A01026">
        <w:rPr>
          <w:b/>
          <w:bCs/>
        </w:rPr>
        <w:t>04</w:t>
      </w:r>
      <w:r w:rsidR="00BA02FB" w:rsidRPr="00A01026">
        <w:rPr>
          <w:b/>
          <w:bCs/>
        </w:rPr>
        <w:t>,9</w:t>
      </w:r>
      <w:r w:rsidR="00AD15C3" w:rsidRPr="00A01026">
        <w:rPr>
          <w:b/>
          <w:bCs/>
        </w:rPr>
        <w:t xml:space="preserve"> </w:t>
      </w:r>
      <w:r w:rsidR="007369E6" w:rsidRPr="00A01026">
        <w:rPr>
          <w:b/>
          <w:bCs/>
        </w:rPr>
        <w:t>тыс</w:t>
      </w:r>
      <w:proofErr w:type="gramStart"/>
      <w:r w:rsidR="007369E6" w:rsidRPr="00A01026">
        <w:rPr>
          <w:b/>
          <w:bCs/>
        </w:rPr>
        <w:t>.р</w:t>
      </w:r>
      <w:proofErr w:type="gramEnd"/>
      <w:r w:rsidR="007369E6" w:rsidRPr="00A01026">
        <w:rPr>
          <w:b/>
          <w:bCs/>
        </w:rPr>
        <w:t>ублей:</w:t>
      </w:r>
      <w:r w:rsidR="0082707A" w:rsidRPr="0089023E">
        <w:rPr>
          <w:bCs/>
        </w:rPr>
        <w:t xml:space="preserve"> </w:t>
      </w:r>
    </w:p>
    <w:p w:rsidR="0082707A" w:rsidRPr="0089023E" w:rsidRDefault="003134F9" w:rsidP="007369E6">
      <w:pPr>
        <w:ind w:right="-309"/>
        <w:jc w:val="both"/>
        <w:rPr>
          <w:color w:val="000000"/>
        </w:rPr>
      </w:pPr>
      <w:r w:rsidRPr="0089023E">
        <w:rPr>
          <w:bCs/>
        </w:rPr>
        <w:t>-</w:t>
      </w:r>
      <w:r w:rsidR="0082707A" w:rsidRPr="0089023E">
        <w:rPr>
          <w:bCs/>
        </w:rPr>
        <w:t xml:space="preserve">«Развитие образования и молодежной политики в </w:t>
      </w:r>
      <w:proofErr w:type="spellStart"/>
      <w:r w:rsidR="0082707A" w:rsidRPr="0089023E">
        <w:rPr>
          <w:bCs/>
        </w:rPr>
        <w:t>Поддорском</w:t>
      </w:r>
      <w:proofErr w:type="spellEnd"/>
      <w:r w:rsidR="0082707A" w:rsidRPr="0089023E">
        <w:rPr>
          <w:bCs/>
        </w:rPr>
        <w:t xml:space="preserve"> муниципальном районе на 2014-2020 годы»</w:t>
      </w:r>
      <w:r w:rsidR="0082707A" w:rsidRPr="0089023E">
        <w:rPr>
          <w:color w:val="000000"/>
        </w:rPr>
        <w:t xml:space="preserve"> по</w:t>
      </w:r>
      <w:r w:rsidR="00AD15C3" w:rsidRPr="0089023E">
        <w:rPr>
          <w:color w:val="000000"/>
        </w:rPr>
        <w:t xml:space="preserve"> подразделу 10 04</w:t>
      </w:r>
      <w:r w:rsidR="0082707A" w:rsidRPr="0089023E">
        <w:rPr>
          <w:color w:val="000000"/>
        </w:rPr>
        <w:t xml:space="preserve"> «Охране семьи и детства» </w:t>
      </w:r>
      <w:r w:rsidR="0082707A" w:rsidRPr="0089023E">
        <w:rPr>
          <w:b/>
          <w:color w:val="000000"/>
        </w:rPr>
        <w:t>- 3</w:t>
      </w:r>
      <w:r w:rsidR="00A01026">
        <w:rPr>
          <w:b/>
          <w:color w:val="000000"/>
        </w:rPr>
        <w:t>5</w:t>
      </w:r>
      <w:r w:rsidR="0082707A" w:rsidRPr="0089023E">
        <w:rPr>
          <w:b/>
          <w:color w:val="000000"/>
        </w:rPr>
        <w:t>,</w:t>
      </w:r>
      <w:r w:rsidR="00A01026">
        <w:rPr>
          <w:b/>
          <w:color w:val="000000"/>
        </w:rPr>
        <w:t>0</w:t>
      </w:r>
      <w:r w:rsidR="0082707A" w:rsidRPr="0089023E">
        <w:rPr>
          <w:b/>
          <w:color w:val="000000"/>
        </w:rPr>
        <w:t xml:space="preserve"> тыс. рублей</w:t>
      </w:r>
      <w:r w:rsidR="0082707A" w:rsidRPr="0089023E">
        <w:rPr>
          <w:color w:val="000000"/>
        </w:rPr>
        <w:t>, уменьшени</w:t>
      </w:r>
      <w:r w:rsidR="00D03784" w:rsidRPr="0089023E">
        <w:rPr>
          <w:color w:val="000000"/>
        </w:rPr>
        <w:t>е числа детей в приемных семьях;</w:t>
      </w:r>
    </w:p>
    <w:p w:rsidR="003134F9" w:rsidRPr="0089023E" w:rsidRDefault="003134F9" w:rsidP="003134F9">
      <w:pPr>
        <w:ind w:right="-309"/>
        <w:jc w:val="both"/>
      </w:pPr>
      <w:r w:rsidRPr="0089023E">
        <w:rPr>
          <w:sz w:val="26"/>
          <w:szCs w:val="26"/>
        </w:rPr>
        <w:lastRenderedPageBreak/>
        <w:t>-</w:t>
      </w:r>
      <w:r w:rsidRPr="0089023E">
        <w:t xml:space="preserve"> «Обеспечение жильем молодых семей на территории </w:t>
      </w:r>
      <w:proofErr w:type="spellStart"/>
      <w:r w:rsidRPr="0089023E">
        <w:t>Поддорского</w:t>
      </w:r>
      <w:proofErr w:type="spellEnd"/>
      <w:r w:rsidRPr="0089023E">
        <w:t xml:space="preserve"> муниципального района на 2015-2017 годы» </w:t>
      </w:r>
      <w:r w:rsidRPr="0089023E">
        <w:rPr>
          <w:b/>
        </w:rPr>
        <w:t>- 5,0 тыс. рублей</w:t>
      </w:r>
      <w:r w:rsidRPr="0089023E">
        <w:t xml:space="preserve"> (отсутствие заявителей в получении мер социальной поддержки по обеспечению жильем);</w:t>
      </w:r>
    </w:p>
    <w:p w:rsidR="003134F9" w:rsidRPr="0089023E" w:rsidRDefault="003134F9" w:rsidP="007369E6">
      <w:pPr>
        <w:ind w:right="-309"/>
        <w:jc w:val="both"/>
        <w:rPr>
          <w:color w:val="000000"/>
        </w:rPr>
      </w:pPr>
    </w:p>
    <w:p w:rsidR="003134F9" w:rsidRPr="0089023E" w:rsidRDefault="003134F9" w:rsidP="003134F9">
      <w:pPr>
        <w:jc w:val="both"/>
      </w:pPr>
      <w:r w:rsidRPr="0089023E">
        <w:t xml:space="preserve">- по подразделу 07 </w:t>
      </w:r>
      <w:proofErr w:type="spellStart"/>
      <w:r w:rsidRPr="0089023E">
        <w:t>07</w:t>
      </w:r>
      <w:proofErr w:type="spellEnd"/>
      <w:r w:rsidRPr="0089023E">
        <w:t xml:space="preserve"> «Развитие муниципальной службы в </w:t>
      </w:r>
      <w:proofErr w:type="spellStart"/>
      <w:r w:rsidRPr="0089023E">
        <w:t>Поддорском</w:t>
      </w:r>
      <w:proofErr w:type="spellEnd"/>
      <w:r w:rsidRPr="0089023E">
        <w:t xml:space="preserve"> муниципальном районе на 2014-2017 годы»- </w:t>
      </w:r>
      <w:r w:rsidRPr="0089023E">
        <w:rPr>
          <w:b/>
        </w:rPr>
        <w:t>0,3 тыс. рублей</w:t>
      </w:r>
      <w:r w:rsidRPr="0089023E">
        <w:t>;</w:t>
      </w:r>
    </w:p>
    <w:p w:rsidR="003134F9" w:rsidRPr="0089023E" w:rsidRDefault="003134F9" w:rsidP="003134F9">
      <w:pPr>
        <w:jc w:val="both"/>
      </w:pPr>
    </w:p>
    <w:p w:rsidR="001B407F" w:rsidRPr="0089023E" w:rsidRDefault="004856B7" w:rsidP="004856B7">
      <w:pPr>
        <w:jc w:val="both"/>
        <w:rPr>
          <w:b/>
        </w:rPr>
      </w:pPr>
      <w:r w:rsidRPr="0089023E">
        <w:t>-</w:t>
      </w:r>
      <w:r w:rsidR="003134F9" w:rsidRPr="0089023E">
        <w:t>по подразделу 01 13</w:t>
      </w:r>
      <w:r w:rsidR="001B407F" w:rsidRPr="0089023E">
        <w:t xml:space="preserve"> «Другие вопросы в общегосударственных расходах» в сумме </w:t>
      </w:r>
      <w:r w:rsidR="001B407F" w:rsidRPr="0089023E">
        <w:rPr>
          <w:b/>
        </w:rPr>
        <w:t>20,0 тыс</w:t>
      </w:r>
      <w:proofErr w:type="gramStart"/>
      <w:r w:rsidR="001B407F" w:rsidRPr="0089023E">
        <w:rPr>
          <w:b/>
        </w:rPr>
        <w:t>.р</w:t>
      </w:r>
      <w:proofErr w:type="gramEnd"/>
      <w:r w:rsidR="001B407F" w:rsidRPr="0089023E">
        <w:rPr>
          <w:b/>
        </w:rPr>
        <w:t>ублей, в том числе:</w:t>
      </w:r>
    </w:p>
    <w:p w:rsidR="004856B7" w:rsidRPr="0089023E" w:rsidRDefault="001B407F" w:rsidP="004856B7">
      <w:pPr>
        <w:jc w:val="both"/>
        <w:rPr>
          <w:sz w:val="16"/>
          <w:szCs w:val="16"/>
        </w:rPr>
      </w:pPr>
      <w:r w:rsidRPr="0089023E">
        <w:t>-</w:t>
      </w:r>
      <w:r w:rsidR="004856B7" w:rsidRPr="0089023E">
        <w:t xml:space="preserve"> </w:t>
      </w:r>
      <w:r w:rsidR="003134F9" w:rsidRPr="0089023E">
        <w:t>«</w:t>
      </w:r>
      <w:r w:rsidR="004856B7" w:rsidRPr="0089023E">
        <w:t xml:space="preserve">Профилактика терроризма и экстремизма в </w:t>
      </w:r>
      <w:proofErr w:type="spellStart"/>
      <w:r w:rsidR="004856B7" w:rsidRPr="0089023E">
        <w:t>Поддорском</w:t>
      </w:r>
      <w:proofErr w:type="spellEnd"/>
      <w:r w:rsidR="004856B7" w:rsidRPr="0089023E">
        <w:t xml:space="preserve"> муниципальном районе на 2014-2020 годы" -</w:t>
      </w:r>
      <w:r w:rsidR="00AD15C3" w:rsidRPr="0089023E">
        <w:t xml:space="preserve"> </w:t>
      </w:r>
      <w:r w:rsidR="004856B7" w:rsidRPr="0089023E">
        <w:rPr>
          <w:b/>
        </w:rPr>
        <w:t>8,0 тыс</w:t>
      </w:r>
      <w:proofErr w:type="gramStart"/>
      <w:r w:rsidR="004856B7" w:rsidRPr="0089023E">
        <w:rPr>
          <w:b/>
        </w:rPr>
        <w:t>.р</w:t>
      </w:r>
      <w:proofErr w:type="gramEnd"/>
      <w:r w:rsidR="004856B7" w:rsidRPr="0089023E">
        <w:rPr>
          <w:b/>
        </w:rPr>
        <w:t>ублей</w:t>
      </w:r>
      <w:r w:rsidR="007369E6" w:rsidRPr="0089023E">
        <w:t>;</w:t>
      </w:r>
    </w:p>
    <w:p w:rsidR="004856B7" w:rsidRPr="0089023E" w:rsidRDefault="004856B7" w:rsidP="004856B7">
      <w:pPr>
        <w:jc w:val="both"/>
      </w:pPr>
      <w:r w:rsidRPr="0089023E">
        <w:t xml:space="preserve">- Профилактика правонарушений в </w:t>
      </w:r>
      <w:proofErr w:type="spellStart"/>
      <w:r w:rsidRPr="0089023E">
        <w:t>Поддорском</w:t>
      </w:r>
      <w:proofErr w:type="spellEnd"/>
      <w:r w:rsidRPr="0089023E">
        <w:t xml:space="preserve"> муниципальном районе на 2014-2020 годы" </w:t>
      </w:r>
      <w:r w:rsidRPr="0089023E">
        <w:rPr>
          <w:b/>
        </w:rPr>
        <w:t>– 7,0 тыс. рублей</w:t>
      </w:r>
      <w:r w:rsidR="007369E6" w:rsidRPr="0089023E">
        <w:t>;</w:t>
      </w:r>
    </w:p>
    <w:p w:rsidR="004856B7" w:rsidRPr="0089023E" w:rsidRDefault="004856B7" w:rsidP="004856B7">
      <w:pPr>
        <w:jc w:val="both"/>
      </w:pPr>
      <w:r w:rsidRPr="0089023E">
        <w:t xml:space="preserve">-"Противодействие коррупции в </w:t>
      </w:r>
      <w:proofErr w:type="spellStart"/>
      <w:r w:rsidRPr="0089023E">
        <w:t>Поддорском</w:t>
      </w:r>
      <w:proofErr w:type="spellEnd"/>
      <w:r w:rsidRPr="0089023E">
        <w:t xml:space="preserve"> муниципальном районе на 2014-2020 годы" – </w:t>
      </w:r>
      <w:r w:rsidRPr="0089023E">
        <w:rPr>
          <w:b/>
        </w:rPr>
        <w:t>5,0 тыс</w:t>
      </w:r>
      <w:proofErr w:type="gramStart"/>
      <w:r w:rsidRPr="0089023E">
        <w:rPr>
          <w:b/>
        </w:rPr>
        <w:t>.р</w:t>
      </w:r>
      <w:proofErr w:type="gramEnd"/>
      <w:r w:rsidRPr="0089023E">
        <w:rPr>
          <w:b/>
        </w:rPr>
        <w:t>ублей</w:t>
      </w:r>
      <w:r w:rsidR="007369E6" w:rsidRPr="0089023E">
        <w:t>;</w:t>
      </w:r>
    </w:p>
    <w:p w:rsidR="003134F9" w:rsidRPr="0089023E" w:rsidRDefault="003134F9" w:rsidP="004856B7">
      <w:pPr>
        <w:jc w:val="both"/>
      </w:pPr>
    </w:p>
    <w:p w:rsidR="003134F9" w:rsidRPr="0089023E" w:rsidRDefault="003134F9" w:rsidP="003134F9">
      <w:pPr>
        <w:jc w:val="both"/>
      </w:pPr>
      <w:r w:rsidRPr="0089023E">
        <w:t xml:space="preserve">-по подразделу 04 09 «Совершенствование и содержание дорожного хозяйства </w:t>
      </w:r>
      <w:proofErr w:type="spellStart"/>
      <w:r w:rsidRPr="0089023E">
        <w:t>Поддорского</w:t>
      </w:r>
      <w:proofErr w:type="spellEnd"/>
      <w:r w:rsidRPr="0089023E">
        <w:t xml:space="preserve"> муниципального района на 2014-2020 годы"»  </w:t>
      </w:r>
      <w:r w:rsidRPr="0089023E">
        <w:rPr>
          <w:b/>
        </w:rPr>
        <w:t>-  1 283,</w:t>
      </w:r>
      <w:r w:rsidR="00BA02FB" w:rsidRPr="0089023E">
        <w:rPr>
          <w:b/>
        </w:rPr>
        <w:t>5</w:t>
      </w:r>
      <w:r w:rsidRPr="0089023E">
        <w:rPr>
          <w:b/>
        </w:rPr>
        <w:t xml:space="preserve"> тыс. рублей</w:t>
      </w:r>
      <w:r w:rsidRPr="0089023E">
        <w:t>;</w:t>
      </w:r>
    </w:p>
    <w:p w:rsidR="004856B7" w:rsidRPr="0089023E" w:rsidRDefault="004856B7" w:rsidP="0082707A">
      <w:pPr>
        <w:ind w:right="-309"/>
        <w:jc w:val="both"/>
      </w:pPr>
      <w:r w:rsidRPr="0089023E">
        <w:t>-</w:t>
      </w:r>
      <w:r w:rsidR="003134F9" w:rsidRPr="0089023E">
        <w:t>по подразделу 04 05</w:t>
      </w:r>
      <w:r w:rsidRPr="0089023E">
        <w:t xml:space="preserve"> </w:t>
      </w:r>
      <w:r w:rsidR="003134F9" w:rsidRPr="0089023E">
        <w:t>«</w:t>
      </w:r>
      <w:r w:rsidRPr="0089023E">
        <w:t xml:space="preserve">Устойчивое развитие сельских территорий в </w:t>
      </w:r>
      <w:proofErr w:type="spellStart"/>
      <w:r w:rsidRPr="0089023E">
        <w:t>Поддорском</w:t>
      </w:r>
      <w:proofErr w:type="spellEnd"/>
      <w:r w:rsidRPr="0089023E">
        <w:t xml:space="preserve"> муниципальном районе на 2014-2020 годы</w:t>
      </w:r>
      <w:r w:rsidR="003134F9" w:rsidRPr="0089023E">
        <w:t>»</w:t>
      </w:r>
      <w:r w:rsidRPr="0089023E">
        <w:t xml:space="preserve"> – </w:t>
      </w:r>
      <w:r w:rsidRPr="0089023E">
        <w:rPr>
          <w:b/>
        </w:rPr>
        <w:t>5,0 тыс</w:t>
      </w:r>
      <w:proofErr w:type="gramStart"/>
      <w:r w:rsidRPr="0089023E">
        <w:rPr>
          <w:b/>
        </w:rPr>
        <w:t>.р</w:t>
      </w:r>
      <w:proofErr w:type="gramEnd"/>
      <w:r w:rsidRPr="0089023E">
        <w:rPr>
          <w:b/>
        </w:rPr>
        <w:t>ублей</w:t>
      </w:r>
      <w:r w:rsidR="007369E6" w:rsidRPr="0089023E">
        <w:t>;</w:t>
      </w:r>
    </w:p>
    <w:p w:rsidR="003134F9" w:rsidRDefault="003134F9" w:rsidP="003134F9">
      <w:pPr>
        <w:ind w:right="-309"/>
        <w:jc w:val="both"/>
        <w:rPr>
          <w:b/>
        </w:rPr>
      </w:pPr>
      <w:r w:rsidRPr="0089023E">
        <w:t xml:space="preserve">-по подразделу 04 12 «Развитие торговли в </w:t>
      </w:r>
      <w:proofErr w:type="spellStart"/>
      <w:r w:rsidRPr="0089023E">
        <w:t>Поддорск</w:t>
      </w:r>
      <w:r w:rsidRPr="007369E6">
        <w:t>ом</w:t>
      </w:r>
      <w:proofErr w:type="spellEnd"/>
      <w:r w:rsidRPr="007369E6">
        <w:t xml:space="preserve"> муниципальном районе на 2014-</w:t>
      </w:r>
      <w:r>
        <w:t>2017 годы»</w:t>
      </w:r>
      <w:r w:rsidRPr="007369E6">
        <w:t xml:space="preserve"> – </w:t>
      </w:r>
      <w:r w:rsidRPr="00AD15C3">
        <w:rPr>
          <w:b/>
        </w:rPr>
        <w:t>3,0 тыс. рублей</w:t>
      </w:r>
      <w:r>
        <w:rPr>
          <w:b/>
        </w:rPr>
        <w:t>;</w:t>
      </w:r>
    </w:p>
    <w:p w:rsidR="00A913F6" w:rsidRDefault="00A913F6" w:rsidP="003134F9">
      <w:pPr>
        <w:ind w:right="-309"/>
        <w:jc w:val="both"/>
        <w:rPr>
          <w:b/>
        </w:rPr>
      </w:pPr>
    </w:p>
    <w:p w:rsidR="007369E6" w:rsidRPr="00AD15C3" w:rsidRDefault="007369E6" w:rsidP="007369E6">
      <w:pPr>
        <w:jc w:val="both"/>
        <w:rPr>
          <w:b/>
        </w:rPr>
      </w:pPr>
      <w:r w:rsidRPr="007369E6">
        <w:t>-</w:t>
      </w:r>
      <w:r w:rsidR="001B407F">
        <w:t xml:space="preserve">по подразделу 08 01 </w:t>
      </w:r>
      <w:r w:rsidRPr="007369E6">
        <w:t xml:space="preserve">«Энергосбережение в </w:t>
      </w:r>
      <w:proofErr w:type="spellStart"/>
      <w:r w:rsidRPr="007369E6">
        <w:t>Поддорском</w:t>
      </w:r>
      <w:proofErr w:type="spellEnd"/>
      <w:r w:rsidRPr="007369E6">
        <w:t xml:space="preserve"> муниципальном районе на 2014-2020 годы» </w:t>
      </w:r>
      <w:r w:rsidRPr="00AD15C3">
        <w:rPr>
          <w:b/>
        </w:rPr>
        <w:t>- 5,0 тыс. рублей.</w:t>
      </w:r>
    </w:p>
    <w:p w:rsidR="003134F9" w:rsidRDefault="003134F9" w:rsidP="0082707A">
      <w:pPr>
        <w:ind w:right="-309"/>
        <w:jc w:val="both"/>
      </w:pPr>
    </w:p>
    <w:p w:rsidR="00076BB5" w:rsidRPr="0089023E" w:rsidRDefault="00D03784" w:rsidP="0082707A">
      <w:pPr>
        <w:ind w:right="-309"/>
        <w:jc w:val="both"/>
      </w:pPr>
      <w:proofErr w:type="gramStart"/>
      <w:r w:rsidRPr="00D03784">
        <w:t>2)</w:t>
      </w:r>
      <w:r w:rsidRPr="00D03784">
        <w:rPr>
          <w:b/>
        </w:rPr>
        <w:t xml:space="preserve">  </w:t>
      </w:r>
      <w:r w:rsidRPr="0089023E">
        <w:rPr>
          <w:b/>
          <w:color w:val="000000"/>
        </w:rPr>
        <w:t>недофинансирование расходов  бюджета муниципального района</w:t>
      </w:r>
      <w:r w:rsidRPr="0089023E">
        <w:rPr>
          <w:color w:val="000000"/>
        </w:rPr>
        <w:t xml:space="preserve"> </w:t>
      </w:r>
      <w:r w:rsidR="00AD15C3" w:rsidRPr="0089023E">
        <w:rPr>
          <w:b/>
          <w:color w:val="000000"/>
        </w:rPr>
        <w:t>в с</w:t>
      </w:r>
      <w:r w:rsidR="00A01026">
        <w:rPr>
          <w:b/>
          <w:color w:val="000000"/>
        </w:rPr>
        <w:t>умме 3420,1</w:t>
      </w:r>
      <w:r w:rsidR="00AD15C3" w:rsidRPr="0089023E">
        <w:rPr>
          <w:b/>
          <w:color w:val="000000"/>
        </w:rPr>
        <w:t xml:space="preserve"> тыс</w:t>
      </w:r>
      <w:r w:rsidR="00AD15C3" w:rsidRPr="0089023E">
        <w:rPr>
          <w:color w:val="000000"/>
        </w:rPr>
        <w:t>.</w:t>
      </w:r>
      <w:r w:rsidRPr="0089023E">
        <w:rPr>
          <w:b/>
          <w:color w:val="000000"/>
        </w:rPr>
        <w:t xml:space="preserve"> рублей</w:t>
      </w:r>
      <w:r w:rsidRPr="0089023E">
        <w:rPr>
          <w:color w:val="000000"/>
        </w:rPr>
        <w:t xml:space="preserve">), </w:t>
      </w:r>
      <w:r w:rsidRPr="0089023E">
        <w:t>в том числе</w:t>
      </w:r>
      <w:r w:rsidR="00076BB5" w:rsidRPr="0089023E">
        <w:t>:</w:t>
      </w:r>
      <w:proofErr w:type="gramEnd"/>
    </w:p>
    <w:p w:rsidR="003134F9" w:rsidRPr="0089023E" w:rsidRDefault="00076BB5" w:rsidP="0082707A">
      <w:pPr>
        <w:ind w:right="-309"/>
        <w:jc w:val="both"/>
        <w:rPr>
          <w:b/>
        </w:rPr>
      </w:pPr>
      <w:r w:rsidRPr="0089023E">
        <w:rPr>
          <w:b/>
        </w:rPr>
        <w:t>-</w:t>
      </w:r>
      <w:r w:rsidR="00D03784" w:rsidRPr="0089023E">
        <w:rPr>
          <w:b/>
        </w:rPr>
        <w:t xml:space="preserve">по </w:t>
      </w:r>
      <w:r w:rsidRPr="0089023E">
        <w:rPr>
          <w:b/>
        </w:rPr>
        <w:t>муниципаль</w:t>
      </w:r>
      <w:r w:rsidR="00D03784" w:rsidRPr="0089023E">
        <w:rPr>
          <w:b/>
        </w:rPr>
        <w:t>ным программам</w:t>
      </w:r>
      <w:r w:rsidR="00AD15C3" w:rsidRPr="0089023E">
        <w:rPr>
          <w:b/>
        </w:rPr>
        <w:t xml:space="preserve"> в сумме </w:t>
      </w:r>
      <w:r w:rsidR="009F2C1D" w:rsidRPr="0089023E">
        <w:rPr>
          <w:b/>
        </w:rPr>
        <w:t>2</w:t>
      </w:r>
      <w:r w:rsidR="006C38D8">
        <w:rPr>
          <w:b/>
        </w:rPr>
        <w:t> </w:t>
      </w:r>
      <w:r w:rsidR="009F2C1D" w:rsidRPr="0089023E">
        <w:rPr>
          <w:b/>
        </w:rPr>
        <w:t>3</w:t>
      </w:r>
      <w:r w:rsidR="006C38D8">
        <w:rPr>
          <w:b/>
        </w:rPr>
        <w:t>4</w:t>
      </w:r>
      <w:r w:rsidR="00176CDD">
        <w:rPr>
          <w:b/>
        </w:rPr>
        <w:t>1</w:t>
      </w:r>
      <w:r w:rsidR="006C38D8">
        <w:rPr>
          <w:b/>
        </w:rPr>
        <w:t>,</w:t>
      </w:r>
      <w:r w:rsidR="00176CDD">
        <w:rPr>
          <w:b/>
        </w:rPr>
        <w:t>6</w:t>
      </w:r>
      <w:r w:rsidR="00AD15C3" w:rsidRPr="0089023E">
        <w:rPr>
          <w:b/>
        </w:rPr>
        <w:t xml:space="preserve"> тыс</w:t>
      </w:r>
      <w:proofErr w:type="gramStart"/>
      <w:r w:rsidR="00AD15C3" w:rsidRPr="0089023E">
        <w:rPr>
          <w:b/>
        </w:rPr>
        <w:t>.</w:t>
      </w:r>
      <w:r w:rsidR="00D03784" w:rsidRPr="0089023E">
        <w:rPr>
          <w:b/>
        </w:rPr>
        <w:t>р</w:t>
      </w:r>
      <w:proofErr w:type="gramEnd"/>
      <w:r w:rsidR="00D03784" w:rsidRPr="0089023E">
        <w:rPr>
          <w:b/>
        </w:rPr>
        <w:t>ублей):</w:t>
      </w:r>
    </w:p>
    <w:p w:rsidR="00E118D1" w:rsidRPr="0089023E" w:rsidRDefault="003134F9" w:rsidP="003E14B6">
      <w:pPr>
        <w:ind w:right="-309"/>
        <w:jc w:val="both"/>
        <w:rPr>
          <w:color w:val="000000"/>
        </w:rPr>
      </w:pPr>
      <w:r w:rsidRPr="0089023E">
        <w:rPr>
          <w:b/>
        </w:rPr>
        <w:t>-по разделу 07</w:t>
      </w:r>
      <w:r w:rsidR="001C5BE5" w:rsidRPr="0089023E">
        <w:rPr>
          <w:b/>
        </w:rPr>
        <w:t xml:space="preserve"> «</w:t>
      </w:r>
      <w:r w:rsidR="001C5BE5" w:rsidRPr="0089023E">
        <w:rPr>
          <w:bCs/>
        </w:rPr>
        <w:t xml:space="preserve">Развитие образования и молодежной политики в </w:t>
      </w:r>
      <w:proofErr w:type="spellStart"/>
      <w:r w:rsidR="001C5BE5" w:rsidRPr="0089023E">
        <w:rPr>
          <w:bCs/>
        </w:rPr>
        <w:t>Поддорском</w:t>
      </w:r>
      <w:proofErr w:type="spellEnd"/>
      <w:r w:rsidR="001C5BE5" w:rsidRPr="0089023E">
        <w:rPr>
          <w:bCs/>
        </w:rPr>
        <w:t xml:space="preserve"> муниципальном районе на 2014-2020 годы» - </w:t>
      </w:r>
      <w:r w:rsidR="001C5BE5" w:rsidRPr="0089023E">
        <w:rPr>
          <w:b/>
          <w:bCs/>
        </w:rPr>
        <w:t>1</w:t>
      </w:r>
      <w:r w:rsidR="00176CDD">
        <w:rPr>
          <w:b/>
          <w:bCs/>
        </w:rPr>
        <w:t> </w:t>
      </w:r>
      <w:r w:rsidR="006C38D8">
        <w:rPr>
          <w:b/>
          <w:bCs/>
        </w:rPr>
        <w:t>52</w:t>
      </w:r>
      <w:r w:rsidR="00176CDD">
        <w:rPr>
          <w:b/>
          <w:bCs/>
        </w:rPr>
        <w:t>4,0</w:t>
      </w:r>
      <w:r w:rsidR="001C5BE5" w:rsidRPr="0089023E">
        <w:rPr>
          <w:b/>
          <w:bCs/>
        </w:rPr>
        <w:t xml:space="preserve"> тыс. рублей</w:t>
      </w:r>
      <w:r w:rsidR="00E118D1" w:rsidRPr="0089023E">
        <w:rPr>
          <w:bCs/>
        </w:rPr>
        <w:t xml:space="preserve"> (за счет </w:t>
      </w:r>
      <w:r w:rsidR="00A913F6">
        <w:rPr>
          <w:color w:val="000000"/>
        </w:rPr>
        <w:t>областного бюджета</w:t>
      </w:r>
      <w:r w:rsidR="00E118D1" w:rsidRPr="0089023E">
        <w:rPr>
          <w:color w:val="000000"/>
        </w:rPr>
        <w:t xml:space="preserve"> субвенций </w:t>
      </w:r>
      <w:r w:rsidR="00F60A6C" w:rsidRPr="0089023E">
        <w:rPr>
          <w:color w:val="000000"/>
        </w:rPr>
        <w:t xml:space="preserve">– </w:t>
      </w:r>
      <w:r w:rsidR="00A913F6">
        <w:rPr>
          <w:color w:val="000000"/>
        </w:rPr>
        <w:t xml:space="preserve"> 563,5</w:t>
      </w:r>
      <w:r w:rsidR="00F60A6C" w:rsidRPr="0089023E">
        <w:rPr>
          <w:color w:val="000000"/>
        </w:rPr>
        <w:t xml:space="preserve"> тыс. </w:t>
      </w:r>
      <w:r w:rsidR="00E118D1" w:rsidRPr="0089023E">
        <w:rPr>
          <w:color w:val="000000"/>
        </w:rPr>
        <w:t>рублей</w:t>
      </w:r>
      <w:r w:rsidR="00A913F6">
        <w:rPr>
          <w:color w:val="000000"/>
        </w:rPr>
        <w:t xml:space="preserve">, субсидий – 704,8 тыс. рублей и бюджета муниципального района </w:t>
      </w:r>
      <w:r w:rsidR="003E14B6">
        <w:rPr>
          <w:color w:val="000000"/>
        </w:rPr>
        <w:t xml:space="preserve">– </w:t>
      </w:r>
      <w:r w:rsidR="006C38D8">
        <w:rPr>
          <w:color w:val="000000"/>
        </w:rPr>
        <w:t>25</w:t>
      </w:r>
      <w:r w:rsidR="00176CDD">
        <w:rPr>
          <w:color w:val="000000"/>
        </w:rPr>
        <w:t>5,7</w:t>
      </w:r>
      <w:r w:rsidR="003E14B6">
        <w:rPr>
          <w:color w:val="000000"/>
        </w:rPr>
        <w:t xml:space="preserve"> тыс.руб.</w:t>
      </w:r>
      <w:r w:rsidR="00E118D1" w:rsidRPr="0089023E">
        <w:rPr>
          <w:color w:val="000000"/>
        </w:rPr>
        <w:t>);</w:t>
      </w:r>
    </w:p>
    <w:p w:rsidR="001B407F" w:rsidRPr="0089023E" w:rsidRDefault="001B407F" w:rsidP="003E14B6">
      <w:pPr>
        <w:jc w:val="both"/>
      </w:pPr>
      <w:r w:rsidRPr="0089023E">
        <w:rPr>
          <w:b/>
        </w:rPr>
        <w:t>-</w:t>
      </w:r>
      <w:r w:rsidRPr="0089023E">
        <w:t xml:space="preserve"> по подразделу 07 09 «Повышение эффективности бюджетных расходов </w:t>
      </w:r>
      <w:proofErr w:type="spellStart"/>
      <w:r w:rsidRPr="0089023E">
        <w:t>Поддорского</w:t>
      </w:r>
      <w:proofErr w:type="spellEnd"/>
      <w:r w:rsidRPr="0089023E">
        <w:t xml:space="preserve"> муниципального района на 2014-2020 годы" – </w:t>
      </w:r>
      <w:r w:rsidRPr="0089023E">
        <w:rPr>
          <w:b/>
        </w:rPr>
        <w:t>3,0 тыс. рублей</w:t>
      </w:r>
      <w:r w:rsidRPr="0089023E">
        <w:t>;</w:t>
      </w:r>
    </w:p>
    <w:p w:rsidR="00D03784" w:rsidRPr="0089023E" w:rsidRDefault="003134F9" w:rsidP="0082707A">
      <w:pPr>
        <w:ind w:right="-309"/>
        <w:jc w:val="both"/>
        <w:rPr>
          <w:b/>
        </w:rPr>
      </w:pPr>
      <w:r w:rsidRPr="006C38D8">
        <w:rPr>
          <w:b/>
          <w:bCs/>
        </w:rPr>
        <w:t xml:space="preserve">-по </w:t>
      </w:r>
      <w:r w:rsidR="001B407F" w:rsidRPr="006C38D8">
        <w:rPr>
          <w:b/>
          <w:bCs/>
        </w:rPr>
        <w:t>под</w:t>
      </w:r>
      <w:r w:rsidRPr="006C38D8">
        <w:rPr>
          <w:b/>
          <w:bCs/>
        </w:rPr>
        <w:t>разделу 08</w:t>
      </w:r>
      <w:r w:rsidR="001B407F" w:rsidRPr="006C38D8">
        <w:rPr>
          <w:b/>
          <w:bCs/>
        </w:rPr>
        <w:t>01</w:t>
      </w:r>
      <w:r w:rsidRPr="0089023E">
        <w:rPr>
          <w:bCs/>
        </w:rPr>
        <w:t xml:space="preserve"> </w:t>
      </w:r>
      <w:r w:rsidR="001C5BE5" w:rsidRPr="0089023E">
        <w:rPr>
          <w:bCs/>
        </w:rPr>
        <w:t xml:space="preserve">«Развитие культуры </w:t>
      </w:r>
      <w:proofErr w:type="spellStart"/>
      <w:r w:rsidR="001C5BE5" w:rsidRPr="0089023E">
        <w:rPr>
          <w:bCs/>
        </w:rPr>
        <w:t>Поддорского</w:t>
      </w:r>
      <w:proofErr w:type="spellEnd"/>
      <w:r w:rsidR="001C5BE5" w:rsidRPr="0089023E">
        <w:rPr>
          <w:bCs/>
        </w:rPr>
        <w:t xml:space="preserve"> муниципального района на 2014-2020 годы» </w:t>
      </w:r>
      <w:r w:rsidR="001B407F" w:rsidRPr="0089023E">
        <w:rPr>
          <w:b/>
          <w:bCs/>
        </w:rPr>
        <w:t>- 7</w:t>
      </w:r>
      <w:r w:rsidR="001C5BE5" w:rsidRPr="0089023E">
        <w:rPr>
          <w:b/>
          <w:bCs/>
        </w:rPr>
        <w:t>0</w:t>
      </w:r>
      <w:r w:rsidR="001B407F" w:rsidRPr="0089023E">
        <w:rPr>
          <w:b/>
          <w:bCs/>
        </w:rPr>
        <w:t>5</w:t>
      </w:r>
      <w:r w:rsidR="001C5BE5" w:rsidRPr="0089023E">
        <w:rPr>
          <w:b/>
          <w:bCs/>
        </w:rPr>
        <w:t>,</w:t>
      </w:r>
      <w:r w:rsidR="001B407F" w:rsidRPr="0089023E">
        <w:rPr>
          <w:b/>
          <w:bCs/>
        </w:rPr>
        <w:t>5</w:t>
      </w:r>
      <w:r w:rsidR="001C5BE5" w:rsidRPr="0089023E">
        <w:rPr>
          <w:b/>
          <w:bCs/>
        </w:rPr>
        <w:t xml:space="preserve"> тыс. рублей;</w:t>
      </w:r>
    </w:p>
    <w:p w:rsidR="00384E1A" w:rsidRPr="0089023E" w:rsidRDefault="003134F9" w:rsidP="0082707A">
      <w:pPr>
        <w:ind w:right="-309"/>
        <w:jc w:val="both"/>
        <w:rPr>
          <w:b/>
        </w:rPr>
      </w:pPr>
      <w:r w:rsidRPr="0089023E">
        <w:rPr>
          <w:bCs/>
        </w:rPr>
        <w:t xml:space="preserve">- </w:t>
      </w:r>
      <w:r w:rsidRPr="006C38D8">
        <w:rPr>
          <w:b/>
          <w:bCs/>
        </w:rPr>
        <w:t>по разделу 11</w:t>
      </w:r>
      <w:r w:rsidRPr="0089023E">
        <w:rPr>
          <w:bCs/>
        </w:rPr>
        <w:t xml:space="preserve"> </w:t>
      </w:r>
      <w:r w:rsidR="001C5BE5" w:rsidRPr="0089023E">
        <w:rPr>
          <w:bCs/>
        </w:rPr>
        <w:t xml:space="preserve">«Развитие физической культуры и спорта на территории </w:t>
      </w:r>
      <w:proofErr w:type="spellStart"/>
      <w:r w:rsidR="001C5BE5" w:rsidRPr="0089023E">
        <w:rPr>
          <w:bCs/>
        </w:rPr>
        <w:t>Поддорского</w:t>
      </w:r>
      <w:proofErr w:type="spellEnd"/>
      <w:r w:rsidR="001C5BE5" w:rsidRPr="0089023E">
        <w:rPr>
          <w:bCs/>
        </w:rPr>
        <w:t xml:space="preserve"> муниципального района на 2014-2020 годы» - </w:t>
      </w:r>
      <w:r w:rsidR="001C5BE5" w:rsidRPr="0089023E">
        <w:rPr>
          <w:b/>
          <w:bCs/>
        </w:rPr>
        <w:t>61,0 тыс</w:t>
      </w:r>
      <w:proofErr w:type="gramStart"/>
      <w:r w:rsidR="001C5BE5" w:rsidRPr="0089023E">
        <w:rPr>
          <w:b/>
          <w:bCs/>
        </w:rPr>
        <w:t>.р</w:t>
      </w:r>
      <w:proofErr w:type="gramEnd"/>
      <w:r w:rsidR="001C5BE5" w:rsidRPr="0089023E">
        <w:rPr>
          <w:b/>
          <w:bCs/>
        </w:rPr>
        <w:t>ублей</w:t>
      </w:r>
      <w:r w:rsidR="00F60A6C" w:rsidRPr="0089023E">
        <w:rPr>
          <w:bCs/>
        </w:rPr>
        <w:t>;</w:t>
      </w:r>
    </w:p>
    <w:p w:rsidR="004856B7" w:rsidRPr="0089023E" w:rsidRDefault="003134F9" w:rsidP="004856B7">
      <w:pPr>
        <w:jc w:val="both"/>
      </w:pPr>
      <w:r w:rsidRPr="0089023E">
        <w:t xml:space="preserve">- по подразделу 04 10 </w:t>
      </w:r>
      <w:r w:rsidR="004856B7" w:rsidRPr="0089023E">
        <w:t xml:space="preserve">"Развитие информационного общества и формирование электронного правительства в </w:t>
      </w:r>
      <w:proofErr w:type="spellStart"/>
      <w:r w:rsidR="004856B7" w:rsidRPr="0089023E">
        <w:t>Поддорском</w:t>
      </w:r>
      <w:proofErr w:type="spellEnd"/>
      <w:r w:rsidR="004856B7" w:rsidRPr="0089023E">
        <w:t xml:space="preserve"> муниципальном районе на 2014-2020 годы"- </w:t>
      </w:r>
      <w:r w:rsidR="00BA02FB" w:rsidRPr="0089023E">
        <w:rPr>
          <w:b/>
        </w:rPr>
        <w:t>13,1</w:t>
      </w:r>
      <w:r w:rsidR="004856B7" w:rsidRPr="0089023E">
        <w:rPr>
          <w:b/>
        </w:rPr>
        <w:t xml:space="preserve"> тыс</w:t>
      </w:r>
      <w:proofErr w:type="gramStart"/>
      <w:r w:rsidR="004856B7" w:rsidRPr="0089023E">
        <w:rPr>
          <w:b/>
        </w:rPr>
        <w:t>.р</w:t>
      </w:r>
      <w:proofErr w:type="gramEnd"/>
      <w:r w:rsidR="004856B7" w:rsidRPr="0089023E">
        <w:rPr>
          <w:b/>
        </w:rPr>
        <w:t>ублей</w:t>
      </w:r>
      <w:r w:rsidR="00F60A6C" w:rsidRPr="0089023E">
        <w:t>;</w:t>
      </w:r>
    </w:p>
    <w:p w:rsidR="004856B7" w:rsidRPr="0089023E" w:rsidRDefault="004856B7" w:rsidP="004856B7">
      <w:r w:rsidRPr="0089023E">
        <w:rPr>
          <w:b/>
        </w:rPr>
        <w:t>-</w:t>
      </w:r>
      <w:r w:rsidR="003134F9" w:rsidRPr="0089023E">
        <w:rPr>
          <w:b/>
        </w:rPr>
        <w:t xml:space="preserve">по подразделу 04 12 </w:t>
      </w:r>
      <w:r w:rsidRPr="0089023E">
        <w:t xml:space="preserve">"Градостроительная политика на территории </w:t>
      </w:r>
      <w:proofErr w:type="spellStart"/>
      <w:r w:rsidRPr="0089023E">
        <w:t>Поддорского</w:t>
      </w:r>
      <w:proofErr w:type="spellEnd"/>
      <w:r w:rsidRPr="0089023E">
        <w:t xml:space="preserve"> муниципального района на 2014-2018 годы" – </w:t>
      </w:r>
      <w:r w:rsidRPr="0089023E">
        <w:rPr>
          <w:b/>
        </w:rPr>
        <w:t>35,0 тыс. рублей</w:t>
      </w:r>
      <w:r w:rsidR="00F60A6C" w:rsidRPr="0089023E">
        <w:t>;</w:t>
      </w:r>
    </w:p>
    <w:p w:rsidR="00076BB5" w:rsidRPr="0089023E" w:rsidRDefault="00076BB5" w:rsidP="0082707A">
      <w:pPr>
        <w:ind w:right="-309"/>
        <w:jc w:val="both"/>
        <w:rPr>
          <w:b/>
        </w:rPr>
      </w:pPr>
    </w:p>
    <w:p w:rsidR="00076BB5" w:rsidRPr="0089023E" w:rsidRDefault="00076BB5" w:rsidP="00076BB5">
      <w:pPr>
        <w:ind w:right="-309"/>
        <w:jc w:val="both"/>
      </w:pPr>
      <w:r w:rsidRPr="0089023E">
        <w:rPr>
          <w:b/>
        </w:rPr>
        <w:t xml:space="preserve">-по </w:t>
      </w:r>
      <w:proofErr w:type="spellStart"/>
      <w:r w:rsidRPr="0089023E">
        <w:rPr>
          <w:b/>
        </w:rPr>
        <w:t>непрограммным</w:t>
      </w:r>
      <w:proofErr w:type="spellEnd"/>
      <w:r w:rsidRPr="0089023E">
        <w:rPr>
          <w:b/>
        </w:rPr>
        <w:t xml:space="preserve"> направлениям деятельности </w:t>
      </w:r>
      <w:proofErr w:type="gramStart"/>
      <w:r w:rsidRPr="0089023E">
        <w:rPr>
          <w:b/>
        </w:rPr>
        <w:t>(</w:t>
      </w:r>
      <w:r w:rsidR="000A38D8">
        <w:rPr>
          <w:b/>
        </w:rPr>
        <w:t xml:space="preserve"> </w:t>
      </w:r>
      <w:proofErr w:type="gramEnd"/>
      <w:r w:rsidR="000A38D8">
        <w:rPr>
          <w:b/>
        </w:rPr>
        <w:t>1 078,5</w:t>
      </w:r>
      <w:r w:rsidRPr="0089023E">
        <w:rPr>
          <w:b/>
        </w:rPr>
        <w:t xml:space="preserve"> тыс.  рублей):</w:t>
      </w:r>
      <w:r w:rsidRPr="0089023E">
        <w:t xml:space="preserve">  </w:t>
      </w:r>
    </w:p>
    <w:p w:rsidR="00076BB5" w:rsidRPr="0089023E" w:rsidRDefault="00076BB5" w:rsidP="00076BB5">
      <w:pPr>
        <w:ind w:right="-309" w:firstLine="708"/>
        <w:jc w:val="both"/>
      </w:pPr>
      <w:proofErr w:type="spellStart"/>
      <w:r w:rsidRPr="0089023E">
        <w:t>Неосвоение</w:t>
      </w:r>
      <w:proofErr w:type="spellEnd"/>
      <w:r w:rsidRPr="0089023E">
        <w:t xml:space="preserve"> средств по причине недофинансирования по разделам  «Общегосударственные вопросы»  - на сумму 10</w:t>
      </w:r>
      <w:r w:rsidR="000A38D8">
        <w:t>2</w:t>
      </w:r>
      <w:r w:rsidR="001C5BE5" w:rsidRPr="0089023E">
        <w:t>4</w:t>
      </w:r>
      <w:r w:rsidRPr="0089023E">
        <w:t>,4 тыс. рублей, «Национальная безопасность и правоохранительная деятельность»</w:t>
      </w:r>
      <w:r w:rsidRPr="0089023E">
        <w:rPr>
          <w:b/>
        </w:rPr>
        <w:t xml:space="preserve"> </w:t>
      </w:r>
      <w:r w:rsidRPr="0089023E">
        <w:t>на  сумму 54,</w:t>
      </w:r>
      <w:r w:rsidR="000A38D8">
        <w:t>1</w:t>
      </w:r>
      <w:r w:rsidRPr="0089023E">
        <w:t xml:space="preserve"> тыс. рублей</w:t>
      </w:r>
      <w:r w:rsidRPr="0089023E">
        <w:rPr>
          <w:b/>
        </w:rPr>
        <w:t xml:space="preserve"> </w:t>
      </w:r>
      <w:r w:rsidRPr="0089023E">
        <w:t>допущено, в основном, по расходам на содержание органов местного самоуправления.</w:t>
      </w:r>
    </w:p>
    <w:p w:rsidR="00076BB5" w:rsidRPr="0089023E" w:rsidRDefault="00076BB5" w:rsidP="0082707A">
      <w:pPr>
        <w:ind w:right="-309"/>
        <w:jc w:val="both"/>
        <w:rPr>
          <w:b/>
        </w:rPr>
      </w:pPr>
    </w:p>
    <w:p w:rsidR="00D03784" w:rsidRPr="0089023E" w:rsidRDefault="00D03784" w:rsidP="0082707A">
      <w:pPr>
        <w:ind w:right="-309"/>
        <w:jc w:val="both"/>
        <w:rPr>
          <w:b/>
        </w:rPr>
      </w:pPr>
    </w:p>
    <w:p w:rsidR="00D03784" w:rsidRPr="008B7C40" w:rsidRDefault="00D03784" w:rsidP="0082707A">
      <w:pPr>
        <w:ind w:right="-309"/>
        <w:jc w:val="both"/>
      </w:pPr>
      <w:proofErr w:type="gramStart"/>
      <w:r w:rsidRPr="0089023E">
        <w:rPr>
          <w:b/>
        </w:rPr>
        <w:lastRenderedPageBreak/>
        <w:t>5) иные причины (</w:t>
      </w:r>
      <w:r w:rsidR="00A80210">
        <w:rPr>
          <w:b/>
        </w:rPr>
        <w:t>328,9</w:t>
      </w:r>
      <w:r w:rsidRPr="0089023E">
        <w:rPr>
          <w:b/>
        </w:rPr>
        <w:t xml:space="preserve"> </w:t>
      </w:r>
      <w:r w:rsidR="008A1F7B" w:rsidRPr="0089023E">
        <w:rPr>
          <w:b/>
        </w:rPr>
        <w:t>тыс</w:t>
      </w:r>
      <w:r w:rsidRPr="0089023E">
        <w:rPr>
          <w:b/>
        </w:rPr>
        <w:t xml:space="preserve">. рублей), в том числе по </w:t>
      </w:r>
      <w:r w:rsidR="008A1F7B" w:rsidRPr="0089023E">
        <w:rPr>
          <w:b/>
        </w:rPr>
        <w:t>муниципальным</w:t>
      </w:r>
      <w:r w:rsidR="00A80210">
        <w:rPr>
          <w:b/>
        </w:rPr>
        <w:t xml:space="preserve"> программам (328,9</w:t>
      </w:r>
      <w:r w:rsidRPr="0089023E">
        <w:rPr>
          <w:b/>
        </w:rPr>
        <w:t xml:space="preserve"> </w:t>
      </w:r>
      <w:r w:rsidR="008A1F7B" w:rsidRPr="0089023E">
        <w:rPr>
          <w:b/>
        </w:rPr>
        <w:t>тыс.</w:t>
      </w:r>
      <w:r w:rsidRPr="0089023E">
        <w:rPr>
          <w:b/>
        </w:rPr>
        <w:t xml:space="preserve"> рублей):</w:t>
      </w:r>
      <w:r w:rsidR="008A1F7B" w:rsidRPr="0089023E">
        <w:t xml:space="preserve"> по </w:t>
      </w:r>
      <w:r w:rsidR="008A1F7B" w:rsidRPr="008B7C40">
        <w:t xml:space="preserve">разделу </w:t>
      </w:r>
      <w:r w:rsidR="008B7C40" w:rsidRPr="008B7C40">
        <w:t>11</w:t>
      </w:r>
      <w:r w:rsidR="008A1F7B" w:rsidRPr="008B7C40">
        <w:t xml:space="preserve"> «Физическая культура и спорт</w:t>
      </w:r>
      <w:r w:rsidR="008A1F7B" w:rsidRPr="008B7C40">
        <w:rPr>
          <w:b/>
        </w:rPr>
        <w:t xml:space="preserve">» </w:t>
      </w:r>
      <w:r w:rsidR="008A1F7B" w:rsidRPr="008B7C40">
        <w:t>не освоены</w:t>
      </w:r>
      <w:r w:rsidR="006C38D8">
        <w:t xml:space="preserve"> денежные </w:t>
      </w:r>
      <w:r w:rsidR="008A1F7B" w:rsidRPr="008B7C40">
        <w:t xml:space="preserve"> средства в сумме 105,3. рублей по причине позднего поступления межбюджетных трансфертов (30.12.2015) из областного бюджета направленные на выполнение  мероприятий по обустройству объектов инфраструктуры областных и районных центров парковых и рекреационных зон плоскостных сооружений, уличных тренажеров</w:t>
      </w:r>
      <w:proofErr w:type="gramEnd"/>
      <w:r w:rsidR="008A1F7B" w:rsidRPr="008B7C40">
        <w:t xml:space="preserve">, площадок ГТО в виде субсидии в размере </w:t>
      </w:r>
      <w:r w:rsidR="008A1F7B" w:rsidRPr="006C38D8">
        <w:rPr>
          <w:b/>
        </w:rPr>
        <w:t>100,0 тыс. рублей и из бюджета муниципального района в 5</w:t>
      </w:r>
      <w:r w:rsidR="00A80210" w:rsidRPr="006C38D8">
        <w:rPr>
          <w:b/>
        </w:rPr>
        <w:t>,</w:t>
      </w:r>
      <w:r w:rsidR="008A1F7B" w:rsidRPr="006C38D8">
        <w:rPr>
          <w:b/>
        </w:rPr>
        <w:t>3</w:t>
      </w:r>
      <w:r w:rsidR="00A80210" w:rsidRPr="006C38D8">
        <w:rPr>
          <w:b/>
        </w:rPr>
        <w:t xml:space="preserve"> тыс.</w:t>
      </w:r>
      <w:r w:rsidR="008A1F7B" w:rsidRPr="006C38D8">
        <w:rPr>
          <w:b/>
        </w:rPr>
        <w:t xml:space="preserve"> рублей </w:t>
      </w:r>
      <w:proofErr w:type="spellStart"/>
      <w:r w:rsidR="008A1F7B" w:rsidRPr="006C38D8">
        <w:rPr>
          <w:b/>
        </w:rPr>
        <w:t>софинансирование</w:t>
      </w:r>
      <w:proofErr w:type="spellEnd"/>
      <w:r w:rsidR="008A1F7B" w:rsidRPr="006C38D8">
        <w:rPr>
          <w:b/>
        </w:rPr>
        <w:t xml:space="preserve"> данной субсидии</w:t>
      </w:r>
      <w:r w:rsidR="008B7C40" w:rsidRPr="008B7C40">
        <w:t>;</w:t>
      </w:r>
    </w:p>
    <w:p w:rsidR="008B7C40" w:rsidRPr="00D03784" w:rsidRDefault="008B7C40" w:rsidP="0082707A">
      <w:pPr>
        <w:ind w:right="-309"/>
        <w:jc w:val="both"/>
        <w:rPr>
          <w:color w:val="000000"/>
        </w:rPr>
      </w:pPr>
      <w:r w:rsidRPr="008B7C40">
        <w:t xml:space="preserve">- по разделу 07 «Образование» </w:t>
      </w:r>
      <w:r w:rsidR="00A80210">
        <w:t>н</w:t>
      </w:r>
      <w:r w:rsidRPr="008B7C40">
        <w:t>еиспользованные остатки</w:t>
      </w:r>
      <w:r w:rsidR="006C38D8">
        <w:t xml:space="preserve"> (денежные средства)</w:t>
      </w:r>
      <w:r w:rsidRPr="008B7C40">
        <w:t xml:space="preserve"> субвенции из областного бюджета по образованию на 01.01.2016</w:t>
      </w:r>
      <w:r>
        <w:t xml:space="preserve"> года составили в сумме </w:t>
      </w:r>
      <w:r w:rsidRPr="006C38D8">
        <w:rPr>
          <w:b/>
        </w:rPr>
        <w:t>223</w:t>
      </w:r>
      <w:r w:rsidR="00A80210" w:rsidRPr="006C38D8">
        <w:rPr>
          <w:b/>
        </w:rPr>
        <w:t>,</w:t>
      </w:r>
      <w:r w:rsidRPr="006C38D8">
        <w:rPr>
          <w:b/>
        </w:rPr>
        <w:t>6</w:t>
      </w:r>
      <w:r w:rsidR="00A80210" w:rsidRPr="006C38D8">
        <w:rPr>
          <w:b/>
        </w:rPr>
        <w:t xml:space="preserve"> тыс.</w:t>
      </w:r>
      <w:r w:rsidRPr="006C38D8">
        <w:rPr>
          <w:b/>
        </w:rPr>
        <w:t xml:space="preserve"> рублей</w:t>
      </w:r>
      <w:r>
        <w:t xml:space="preserve"> на подвоз учащихся в январе 2016 года.</w:t>
      </w:r>
    </w:p>
    <w:p w:rsidR="00E118D1" w:rsidRDefault="00E118D1" w:rsidP="00FE3F84">
      <w:pPr>
        <w:ind w:right="-309" w:firstLine="708"/>
        <w:jc w:val="both"/>
        <w:rPr>
          <w:color w:val="000000"/>
          <w:sz w:val="28"/>
          <w:szCs w:val="28"/>
        </w:rPr>
      </w:pPr>
    </w:p>
    <w:p w:rsidR="006C38D8" w:rsidRDefault="00FE3F84" w:rsidP="00FE3F84">
      <w:pPr>
        <w:tabs>
          <w:tab w:val="left" w:pos="709"/>
          <w:tab w:val="left" w:pos="851"/>
        </w:tabs>
        <w:autoSpaceDE w:val="0"/>
        <w:autoSpaceDN w:val="0"/>
        <w:adjustRightInd w:val="0"/>
        <w:ind w:right="-309"/>
        <w:jc w:val="both"/>
        <w:outlineLvl w:val="1"/>
        <w:rPr>
          <w:bCs/>
          <w:lang w:eastAsia="en-US"/>
        </w:rPr>
      </w:pPr>
      <w:r w:rsidRPr="001E1697">
        <w:rPr>
          <w:i/>
        </w:rPr>
        <w:tab/>
      </w:r>
      <w:r w:rsidRPr="001E1697">
        <w:t xml:space="preserve"> </w:t>
      </w:r>
      <w:r w:rsidRPr="001E1697">
        <w:rPr>
          <w:bCs/>
          <w:lang w:eastAsia="en-US"/>
        </w:rPr>
        <w:t xml:space="preserve">В целях подготовки настоящего заключения </w:t>
      </w:r>
      <w:r w:rsidR="001E1697" w:rsidRPr="001E1697">
        <w:rPr>
          <w:bCs/>
          <w:lang w:eastAsia="en-US"/>
        </w:rPr>
        <w:t>Контрольно-счетной</w:t>
      </w:r>
      <w:r w:rsidRPr="001E1697">
        <w:rPr>
          <w:bCs/>
          <w:lang w:eastAsia="en-US"/>
        </w:rPr>
        <w:t xml:space="preserve"> </w:t>
      </w:r>
      <w:r w:rsidR="001E1697" w:rsidRPr="001E1697">
        <w:rPr>
          <w:bCs/>
          <w:lang w:eastAsia="en-US"/>
        </w:rPr>
        <w:t>П</w:t>
      </w:r>
      <w:r w:rsidRPr="001E1697">
        <w:rPr>
          <w:bCs/>
          <w:lang w:eastAsia="en-US"/>
        </w:rPr>
        <w:t xml:space="preserve">алатой проведены </w:t>
      </w:r>
      <w:r w:rsidRPr="001E1697">
        <w:rPr>
          <w:b/>
          <w:bCs/>
          <w:lang w:eastAsia="en-US"/>
        </w:rPr>
        <w:t xml:space="preserve">внешние </w:t>
      </w:r>
      <w:r w:rsidRPr="006C38D8">
        <w:rPr>
          <w:b/>
          <w:bCs/>
          <w:lang w:eastAsia="en-US"/>
        </w:rPr>
        <w:t>проверки бюджетной отчетности за 201</w:t>
      </w:r>
      <w:r w:rsidR="001E1697" w:rsidRPr="006C38D8">
        <w:rPr>
          <w:b/>
          <w:bCs/>
          <w:lang w:eastAsia="en-US"/>
        </w:rPr>
        <w:t>5</w:t>
      </w:r>
      <w:r w:rsidRPr="006C38D8">
        <w:rPr>
          <w:b/>
          <w:bCs/>
          <w:lang w:eastAsia="en-US"/>
        </w:rPr>
        <w:t xml:space="preserve"> год </w:t>
      </w:r>
      <w:r w:rsidR="001E1697" w:rsidRPr="006C38D8">
        <w:rPr>
          <w:b/>
          <w:bCs/>
          <w:lang w:eastAsia="en-US"/>
        </w:rPr>
        <w:t>четырем</w:t>
      </w:r>
      <w:r w:rsidRPr="006C38D8">
        <w:rPr>
          <w:b/>
        </w:rPr>
        <w:t xml:space="preserve"> </w:t>
      </w:r>
      <w:r w:rsidRPr="006C38D8">
        <w:rPr>
          <w:b/>
          <w:bCs/>
          <w:lang w:eastAsia="en-US"/>
        </w:rPr>
        <w:t>главных распорядителей бюджетных средств (ГРБС</w:t>
      </w:r>
      <w:r w:rsidRPr="001E1697">
        <w:rPr>
          <w:bCs/>
          <w:lang w:eastAsia="en-US"/>
        </w:rPr>
        <w:t>). Результаты проверок оформле</w:t>
      </w:r>
      <w:r w:rsidR="006C38D8">
        <w:rPr>
          <w:bCs/>
          <w:lang w:eastAsia="en-US"/>
        </w:rPr>
        <w:t>ны соответствующими актами</w:t>
      </w:r>
      <w:r w:rsidRPr="001E1697">
        <w:rPr>
          <w:bCs/>
          <w:lang w:eastAsia="en-US"/>
        </w:rPr>
        <w:t xml:space="preserve"> и доведены до сведения руководителей проверяемых органов.</w:t>
      </w:r>
    </w:p>
    <w:p w:rsidR="003E14B6" w:rsidRDefault="006C38D8" w:rsidP="00FE3F84">
      <w:pPr>
        <w:tabs>
          <w:tab w:val="left" w:pos="709"/>
          <w:tab w:val="left" w:pos="851"/>
        </w:tabs>
        <w:autoSpaceDE w:val="0"/>
        <w:autoSpaceDN w:val="0"/>
        <w:adjustRightInd w:val="0"/>
        <w:ind w:right="-309"/>
        <w:jc w:val="both"/>
        <w:outlineLvl w:val="1"/>
        <w:rPr>
          <w:bCs/>
          <w:lang w:eastAsia="en-US"/>
        </w:rPr>
      </w:pPr>
      <w:r>
        <w:rPr>
          <w:bCs/>
          <w:lang w:eastAsia="en-US"/>
        </w:rPr>
        <w:t xml:space="preserve">           </w:t>
      </w:r>
      <w:r w:rsidR="00FE3F84" w:rsidRPr="001E1697">
        <w:rPr>
          <w:bCs/>
          <w:lang w:eastAsia="en-US"/>
        </w:rPr>
        <w:t xml:space="preserve"> Проверки показали, что замечания </w:t>
      </w:r>
      <w:r w:rsidR="001E1697" w:rsidRPr="001E1697">
        <w:rPr>
          <w:bCs/>
          <w:lang w:eastAsia="en-US"/>
        </w:rPr>
        <w:t>Контрольно-с</w:t>
      </w:r>
      <w:r w:rsidR="00FE3F84" w:rsidRPr="001E1697">
        <w:rPr>
          <w:bCs/>
          <w:lang w:eastAsia="en-US"/>
        </w:rPr>
        <w:t xml:space="preserve">четной </w:t>
      </w:r>
      <w:r w:rsidR="001E1697" w:rsidRPr="001E1697">
        <w:rPr>
          <w:bCs/>
          <w:lang w:eastAsia="en-US"/>
        </w:rPr>
        <w:t>П</w:t>
      </w:r>
      <w:r w:rsidR="00FE3F84" w:rsidRPr="001E1697">
        <w:rPr>
          <w:bCs/>
          <w:lang w:eastAsia="en-US"/>
        </w:rPr>
        <w:t>алаты по результатам внешних прове</w:t>
      </w:r>
      <w:r w:rsidR="001E1697" w:rsidRPr="001E1697">
        <w:rPr>
          <w:bCs/>
          <w:lang w:eastAsia="en-US"/>
        </w:rPr>
        <w:t>рок бюджетной отчетности за 2014</w:t>
      </w:r>
      <w:r w:rsidR="00FE3F84" w:rsidRPr="001E1697">
        <w:rPr>
          <w:bCs/>
          <w:lang w:eastAsia="en-US"/>
        </w:rPr>
        <w:t xml:space="preserve"> год, в основном учтены.</w:t>
      </w:r>
    </w:p>
    <w:p w:rsidR="00FE3F84" w:rsidRPr="001E1697" w:rsidRDefault="00FE3F84" w:rsidP="00FE3F84">
      <w:pPr>
        <w:tabs>
          <w:tab w:val="left" w:pos="709"/>
          <w:tab w:val="left" w:pos="851"/>
        </w:tabs>
        <w:autoSpaceDE w:val="0"/>
        <w:autoSpaceDN w:val="0"/>
        <w:adjustRightInd w:val="0"/>
        <w:ind w:right="-309"/>
        <w:jc w:val="both"/>
        <w:outlineLvl w:val="1"/>
      </w:pPr>
      <w:r w:rsidRPr="001E1697">
        <w:rPr>
          <w:bCs/>
          <w:lang w:eastAsia="en-US"/>
        </w:rPr>
        <w:t xml:space="preserve"> </w:t>
      </w:r>
    </w:p>
    <w:p w:rsidR="00FE3F84" w:rsidRPr="00837FDD" w:rsidRDefault="00FE3F84" w:rsidP="00FE3F84">
      <w:pPr>
        <w:pStyle w:val="1"/>
        <w:ind w:right="-309" w:firstLine="708"/>
        <w:rPr>
          <w:b/>
          <w:bCs/>
          <w:sz w:val="24"/>
          <w:szCs w:val="24"/>
          <w:lang w:eastAsia="en-US"/>
        </w:rPr>
      </w:pPr>
      <w:r w:rsidRPr="00B93D11">
        <w:rPr>
          <w:b/>
          <w:bCs/>
          <w:sz w:val="24"/>
          <w:szCs w:val="24"/>
          <w:lang w:eastAsia="en-US"/>
        </w:rPr>
        <w:t>По результатам внешних проверок бюджетной отчетности за 201</w:t>
      </w:r>
      <w:r w:rsidR="001E1697" w:rsidRPr="00B93D11">
        <w:rPr>
          <w:b/>
          <w:bCs/>
          <w:sz w:val="24"/>
          <w:szCs w:val="24"/>
          <w:lang w:eastAsia="en-US"/>
        </w:rPr>
        <w:t>5</w:t>
      </w:r>
      <w:r w:rsidRPr="00B93D11">
        <w:rPr>
          <w:b/>
          <w:bCs/>
          <w:sz w:val="24"/>
          <w:szCs w:val="24"/>
          <w:lang w:eastAsia="en-US"/>
        </w:rPr>
        <w:t xml:space="preserve"> год сделаны следующие выводы:</w:t>
      </w:r>
    </w:p>
    <w:p w:rsidR="00FE3F84" w:rsidRPr="002C60BE" w:rsidRDefault="003E14B6" w:rsidP="00FE3F84">
      <w:pPr>
        <w:pStyle w:val="ConsPlusNormal"/>
        <w:ind w:right="-30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FE3F84" w:rsidRPr="001E1697">
        <w:rPr>
          <w:rFonts w:ascii="Times New Roman" w:hAnsi="Times New Roman" w:cs="Times New Roman"/>
          <w:sz w:val="24"/>
          <w:szCs w:val="24"/>
        </w:rPr>
        <w:t xml:space="preserve">юджетная отчетность представлена в </w:t>
      </w:r>
      <w:r w:rsidR="001E1697" w:rsidRPr="001E1697">
        <w:rPr>
          <w:rFonts w:ascii="Times New Roman" w:hAnsi="Times New Roman" w:cs="Times New Roman"/>
          <w:sz w:val="24"/>
          <w:szCs w:val="24"/>
        </w:rPr>
        <w:t>Контрольно-с</w:t>
      </w:r>
      <w:r w:rsidR="00FE3F84" w:rsidRPr="001E1697">
        <w:rPr>
          <w:rFonts w:ascii="Times New Roman" w:hAnsi="Times New Roman" w:cs="Times New Roman"/>
          <w:sz w:val="24"/>
          <w:szCs w:val="24"/>
        </w:rPr>
        <w:t xml:space="preserve">четную </w:t>
      </w:r>
      <w:r w:rsidR="001E1697" w:rsidRPr="001E1697">
        <w:rPr>
          <w:rFonts w:ascii="Times New Roman" w:hAnsi="Times New Roman" w:cs="Times New Roman"/>
          <w:sz w:val="24"/>
          <w:szCs w:val="24"/>
        </w:rPr>
        <w:t>П</w:t>
      </w:r>
      <w:r w:rsidR="00FE3F84" w:rsidRPr="001E1697">
        <w:rPr>
          <w:rFonts w:ascii="Times New Roman" w:hAnsi="Times New Roman" w:cs="Times New Roman"/>
          <w:sz w:val="24"/>
          <w:szCs w:val="24"/>
        </w:rPr>
        <w:t xml:space="preserve">алату в срок, установленный </w:t>
      </w:r>
      <w:r w:rsidR="001E1697" w:rsidRPr="001E1697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081C0D">
        <w:rPr>
          <w:rFonts w:ascii="Times New Roman" w:hAnsi="Times New Roman" w:cs="Times New Roman"/>
          <w:sz w:val="24"/>
          <w:szCs w:val="24"/>
        </w:rPr>
        <w:t>46</w:t>
      </w:r>
      <w:r w:rsidR="001E1697" w:rsidRPr="001E169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решения Думы </w:t>
      </w:r>
      <w:proofErr w:type="spellStart"/>
      <w:r w:rsidR="001E1697" w:rsidRPr="001E169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Поддорского</w:t>
      </w:r>
      <w:proofErr w:type="spellEnd"/>
      <w:r w:rsidR="001E1697" w:rsidRPr="001E169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муниципального района от 26.12.2011 № 472 «Об утверждении Положения  о бюджетном</w:t>
      </w:r>
      <w:r w:rsidR="001E1697" w:rsidRPr="001E1697">
        <w:rPr>
          <w:rFonts w:ascii="Times New Roman" w:hAnsi="Times New Roman" w:cs="Times New Roman"/>
          <w:sz w:val="24"/>
          <w:szCs w:val="24"/>
        </w:rPr>
        <w:t xml:space="preserve"> процессе в </w:t>
      </w:r>
      <w:proofErr w:type="spellStart"/>
      <w:r w:rsidR="001E1697" w:rsidRPr="001E169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Поддорском</w:t>
      </w:r>
      <w:proofErr w:type="spellEnd"/>
      <w:r w:rsidR="001E1697" w:rsidRPr="001E1697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1E1697" w:rsidRPr="001E169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»</w:t>
      </w:r>
      <w:r w:rsidR="00FE3F84">
        <w:rPr>
          <w:rFonts w:ascii="Times New Roman" w:hAnsi="Times New Roman" w:cs="Times New Roman"/>
          <w:sz w:val="28"/>
          <w:szCs w:val="28"/>
        </w:rPr>
        <w:t xml:space="preserve">, </w:t>
      </w:r>
      <w:r w:rsidR="00FE3F84" w:rsidRPr="00081C0D">
        <w:rPr>
          <w:rFonts w:ascii="Times New Roman" w:hAnsi="Times New Roman" w:cs="Times New Roman"/>
          <w:sz w:val="24"/>
          <w:szCs w:val="24"/>
        </w:rPr>
        <w:t xml:space="preserve">при этом, </w:t>
      </w:r>
      <w:r w:rsidR="00FE3F84" w:rsidRPr="00081C0D">
        <w:rPr>
          <w:rFonts w:ascii="Times New Roman" w:hAnsi="Times New Roman" w:cs="Times New Roman"/>
          <w:sz w:val="24"/>
          <w:szCs w:val="24"/>
          <w:lang w:eastAsia="en-US"/>
        </w:rPr>
        <w:t xml:space="preserve">в течение месяца после установленного срока  ГРБС </w:t>
      </w:r>
      <w:r w:rsidR="00081C0D">
        <w:rPr>
          <w:rFonts w:ascii="Times New Roman" w:hAnsi="Times New Roman" w:cs="Times New Roman"/>
          <w:sz w:val="24"/>
          <w:szCs w:val="24"/>
          <w:lang w:eastAsia="en-US"/>
        </w:rPr>
        <w:t xml:space="preserve"> комитета образования и ГРБС комитета культуры </w:t>
      </w:r>
      <w:r w:rsidR="00FE3F84" w:rsidRPr="00081C0D">
        <w:rPr>
          <w:rFonts w:ascii="Times New Roman" w:hAnsi="Times New Roman" w:cs="Times New Roman"/>
          <w:sz w:val="24"/>
          <w:szCs w:val="24"/>
          <w:lang w:eastAsia="en-US"/>
        </w:rPr>
        <w:t>направили в</w:t>
      </w:r>
      <w:r w:rsidR="00081C0D">
        <w:rPr>
          <w:rFonts w:ascii="Times New Roman" w:hAnsi="Times New Roman" w:cs="Times New Roman"/>
          <w:sz w:val="24"/>
          <w:szCs w:val="24"/>
          <w:lang w:eastAsia="en-US"/>
        </w:rPr>
        <w:t xml:space="preserve"> Контрольно-с</w:t>
      </w:r>
      <w:r w:rsidR="00FE3F84" w:rsidRPr="00081C0D">
        <w:rPr>
          <w:rFonts w:ascii="Times New Roman" w:hAnsi="Times New Roman" w:cs="Times New Roman"/>
          <w:sz w:val="24"/>
          <w:szCs w:val="24"/>
          <w:lang w:eastAsia="en-US"/>
        </w:rPr>
        <w:t xml:space="preserve">четную </w:t>
      </w:r>
      <w:r w:rsidR="00081C0D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E3F84" w:rsidRPr="00081C0D">
        <w:rPr>
          <w:rFonts w:ascii="Times New Roman" w:hAnsi="Times New Roman" w:cs="Times New Roman"/>
          <w:sz w:val="24"/>
          <w:szCs w:val="24"/>
          <w:lang w:eastAsia="en-US"/>
        </w:rPr>
        <w:t>алату измененные показатели по ряду форм годовой бюджетной отчетности</w:t>
      </w:r>
      <w:r w:rsidR="00FE3F84" w:rsidRPr="00081C0D">
        <w:rPr>
          <w:rFonts w:ascii="Times New Roman" w:hAnsi="Times New Roman" w:cs="Times New Roman"/>
          <w:sz w:val="24"/>
          <w:szCs w:val="24"/>
        </w:rPr>
        <w:t>;</w:t>
      </w:r>
      <w:r w:rsidR="00FE3F84" w:rsidRPr="002C6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E3F84" w:rsidRPr="001E1697" w:rsidRDefault="00FE3F84" w:rsidP="00FE3F84">
      <w:pPr>
        <w:pStyle w:val="ConsPlusNormal"/>
        <w:ind w:right="-3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697">
        <w:rPr>
          <w:rFonts w:ascii="Times New Roman" w:hAnsi="Times New Roman" w:cs="Times New Roman"/>
          <w:sz w:val="24"/>
          <w:szCs w:val="24"/>
        </w:rPr>
        <w:t>плановые показатели по доходам и расходам бюджета</w:t>
      </w:r>
      <w:r w:rsidR="001E1697" w:rsidRPr="001E169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E1697">
        <w:rPr>
          <w:rFonts w:ascii="Times New Roman" w:hAnsi="Times New Roman" w:cs="Times New Roman"/>
          <w:sz w:val="24"/>
          <w:szCs w:val="24"/>
        </w:rPr>
        <w:t>, указанные  в бюджетной отчетности ГРБС, соответствуют  показателям сводной бюджетной росписи, фактические показатели – отчетным данным Управления Федерального казначейства по Новгородской области;</w:t>
      </w:r>
    </w:p>
    <w:p w:rsidR="00FE3F84" w:rsidRPr="00081C0D" w:rsidRDefault="00FE3F84" w:rsidP="00FE3F84">
      <w:pPr>
        <w:autoSpaceDE w:val="0"/>
        <w:autoSpaceDN w:val="0"/>
        <w:adjustRightInd w:val="0"/>
        <w:ind w:right="-309" w:firstLine="709"/>
        <w:jc w:val="both"/>
        <w:rPr>
          <w:b/>
          <w:lang w:eastAsia="en-US"/>
        </w:rPr>
      </w:pPr>
      <w:r w:rsidRPr="00081C0D">
        <w:rPr>
          <w:b/>
          <w:lang w:eastAsia="en-US"/>
        </w:rPr>
        <w:t xml:space="preserve">при заполнении форм бюджетной отчетности </w:t>
      </w:r>
      <w:r w:rsidRPr="00081C0D">
        <w:rPr>
          <w:b/>
          <w:lang w:eastAsia="ar-SA"/>
        </w:rPr>
        <w:t xml:space="preserve">допущены отдельные </w:t>
      </w:r>
      <w:r w:rsidRPr="00081C0D">
        <w:rPr>
          <w:b/>
          <w:lang w:eastAsia="en-US"/>
        </w:rPr>
        <w:t xml:space="preserve">нарушения и недостатки, при этом, выявленные нарушения </w:t>
      </w:r>
      <w:r w:rsidRPr="00081C0D">
        <w:rPr>
          <w:b/>
        </w:rPr>
        <w:t>не оказали влияние на показатели годового отчета, представ</w:t>
      </w:r>
      <w:r w:rsidR="001E1697" w:rsidRPr="00081C0D">
        <w:rPr>
          <w:b/>
        </w:rPr>
        <w:t xml:space="preserve">ленного на рассмотрение в </w:t>
      </w:r>
      <w:r w:rsidRPr="00081C0D">
        <w:rPr>
          <w:b/>
        </w:rPr>
        <w:t xml:space="preserve"> Думу</w:t>
      </w:r>
      <w:r w:rsidR="001E1697" w:rsidRPr="00081C0D">
        <w:rPr>
          <w:b/>
        </w:rPr>
        <w:t xml:space="preserve"> </w:t>
      </w:r>
      <w:proofErr w:type="spellStart"/>
      <w:r w:rsidR="001E1697" w:rsidRPr="00081C0D">
        <w:rPr>
          <w:b/>
        </w:rPr>
        <w:t>Поддорского</w:t>
      </w:r>
      <w:proofErr w:type="spellEnd"/>
      <w:r w:rsidR="001E1697" w:rsidRPr="00081C0D">
        <w:rPr>
          <w:b/>
        </w:rPr>
        <w:t xml:space="preserve"> муниципального района</w:t>
      </w:r>
      <w:r w:rsidR="003E14B6">
        <w:rPr>
          <w:b/>
        </w:rPr>
        <w:t>.</w:t>
      </w:r>
    </w:p>
    <w:p w:rsidR="005F62DD" w:rsidRDefault="00FE3F84" w:rsidP="00FE3F84">
      <w:pPr>
        <w:autoSpaceDE w:val="0"/>
        <w:autoSpaceDN w:val="0"/>
        <w:adjustRightInd w:val="0"/>
        <w:ind w:right="-309" w:firstLine="709"/>
        <w:jc w:val="both"/>
      </w:pPr>
      <w:r w:rsidRPr="005F62DD">
        <w:rPr>
          <w:b/>
        </w:rPr>
        <w:t xml:space="preserve">Доходы дорожного фонда </w:t>
      </w:r>
      <w:r w:rsidR="00081C0D" w:rsidRPr="005F62DD">
        <w:rPr>
          <w:b/>
        </w:rPr>
        <w:t>муниципального района</w:t>
      </w:r>
      <w:r w:rsidRPr="005F62DD">
        <w:t xml:space="preserve"> </w:t>
      </w:r>
    </w:p>
    <w:p w:rsidR="00FE3F84" w:rsidRPr="005F62DD" w:rsidRDefault="00FE3F84" w:rsidP="00FE3F84">
      <w:pPr>
        <w:autoSpaceDE w:val="0"/>
        <w:autoSpaceDN w:val="0"/>
        <w:adjustRightInd w:val="0"/>
        <w:ind w:right="-309" w:firstLine="709"/>
        <w:jc w:val="both"/>
      </w:pPr>
      <w:r w:rsidRPr="005F62DD">
        <w:t xml:space="preserve">Плановые назначения </w:t>
      </w:r>
      <w:r w:rsidR="00174360">
        <w:t>по налогу з</w:t>
      </w:r>
      <w:r w:rsidRPr="005F62DD">
        <w:t>а счет поступлений доходов от ак</w:t>
      </w:r>
      <w:r w:rsidR="001F47BA" w:rsidRPr="005F62DD">
        <w:t xml:space="preserve">цизов на нефтепродукты в сумме </w:t>
      </w:r>
      <w:r w:rsidR="00174360">
        <w:t xml:space="preserve"> 5 685,2 т</w:t>
      </w:r>
      <w:r w:rsidR="001F47BA" w:rsidRPr="005F62DD">
        <w:t>ыс. рублей</w:t>
      </w:r>
      <w:r w:rsidR="00174360">
        <w:t xml:space="preserve"> при плане 5 087,1 тыс</w:t>
      </w:r>
      <w:proofErr w:type="gramStart"/>
      <w:r w:rsidR="00174360">
        <w:t>.р</w:t>
      </w:r>
      <w:proofErr w:type="gramEnd"/>
      <w:r w:rsidR="00174360">
        <w:t>ублей или выполнены на 111,8 тыс.рублей и направлены на выполнение муниципальной программы «</w:t>
      </w:r>
      <w:r w:rsidR="00174360" w:rsidRPr="001C5BE5">
        <w:t xml:space="preserve">Совершенствование и содержание дорожного хозяйства </w:t>
      </w:r>
      <w:proofErr w:type="spellStart"/>
      <w:r w:rsidR="00174360" w:rsidRPr="001C5BE5">
        <w:t>Поддорского</w:t>
      </w:r>
      <w:proofErr w:type="spellEnd"/>
      <w:r w:rsidR="00174360" w:rsidRPr="001C5BE5">
        <w:t xml:space="preserve"> муниципального района на 2014-2020 годы"</w:t>
      </w:r>
      <w:r w:rsidR="00174360">
        <w:t>»</w:t>
      </w:r>
      <w:r w:rsidR="001F47BA" w:rsidRPr="005F62DD">
        <w:t>.</w:t>
      </w:r>
      <w:r w:rsidR="00174360">
        <w:t xml:space="preserve"> Поступления в дорожный фонд </w:t>
      </w:r>
      <w:proofErr w:type="gramStart"/>
      <w:r w:rsidR="00174360">
        <w:t>составили от областного бюджета составили</w:t>
      </w:r>
      <w:proofErr w:type="gramEnd"/>
      <w:r w:rsidR="00174360">
        <w:t xml:space="preserve"> в суме 507,0 тыс. рублей и из бюджета </w:t>
      </w:r>
      <w:proofErr w:type="spellStart"/>
      <w:r w:rsidR="00174360">
        <w:t>Поддорского</w:t>
      </w:r>
      <w:proofErr w:type="spellEnd"/>
      <w:r w:rsidR="00174360">
        <w:t xml:space="preserve"> сельского поселения в сумме 497,2 тыс. рублей</w:t>
      </w:r>
    </w:p>
    <w:p w:rsidR="001F47BA" w:rsidRDefault="001F47BA" w:rsidP="001F47BA">
      <w:pPr>
        <w:jc w:val="both"/>
      </w:pPr>
      <w:r>
        <w:t xml:space="preserve">         Кассовый расход мероприятия муниципальной программы «</w:t>
      </w:r>
      <w:r w:rsidRPr="00F66CEC">
        <w:t>Совершенствование и содержание дорожного хозяй</w:t>
      </w:r>
      <w:r>
        <w:t xml:space="preserve">ства на территории </w:t>
      </w:r>
      <w:proofErr w:type="spellStart"/>
      <w:r>
        <w:t>Поддорского</w:t>
      </w:r>
      <w:proofErr w:type="spellEnd"/>
      <w:r>
        <w:t xml:space="preserve"> муниципального района на 2014-2020 годы» на 2015 год выполнен в сумме 7 307 804 руб.23 коп., из них за счет областного бюджета 507 000 рублей и за счет бюджета муниципального района </w:t>
      </w:r>
      <w:r w:rsidR="00052B7D">
        <w:t xml:space="preserve">3 853 648 </w:t>
      </w:r>
      <w:r>
        <w:t>руб.23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за счет бюджета </w:t>
      </w:r>
      <w:proofErr w:type="spellStart"/>
      <w:r>
        <w:t>Поддорского</w:t>
      </w:r>
      <w:proofErr w:type="spellEnd"/>
      <w:r>
        <w:t xml:space="preserve"> сельского поселения в сумме </w:t>
      </w:r>
      <w:r w:rsidR="00052B7D">
        <w:t xml:space="preserve"> 2 9</w:t>
      </w:r>
      <w:r>
        <w:t>97 156 рублей</w:t>
      </w:r>
      <w:r w:rsidR="00174360">
        <w:t xml:space="preserve"> в связи с передачей полномочий</w:t>
      </w:r>
      <w:r>
        <w:t xml:space="preserve"> </w:t>
      </w:r>
      <w:r w:rsidR="00174360" w:rsidRPr="005F62DD">
        <w:t xml:space="preserve">или </w:t>
      </w:r>
      <w:r w:rsidR="00174360">
        <w:t xml:space="preserve"> </w:t>
      </w:r>
      <w:proofErr w:type="gramStart"/>
      <w:r w:rsidR="00174360">
        <w:t>выполнен</w:t>
      </w:r>
      <w:proofErr w:type="gramEnd"/>
      <w:r w:rsidR="00174360">
        <w:t xml:space="preserve"> на </w:t>
      </w:r>
      <w:r w:rsidR="00174360" w:rsidRPr="005F62DD">
        <w:t>85,1 процента к годовому плану</w:t>
      </w:r>
    </w:p>
    <w:p w:rsidR="009B328B" w:rsidRDefault="001F47BA" w:rsidP="009C421F">
      <w:pPr>
        <w:jc w:val="both"/>
        <w:rPr>
          <w:b/>
        </w:rPr>
      </w:pPr>
      <w:r>
        <w:t xml:space="preserve">         </w:t>
      </w:r>
      <w:r w:rsidRPr="0054685C">
        <w:rPr>
          <w:b/>
        </w:rPr>
        <w:t>Неиспользованные бюджетные ассигнования</w:t>
      </w:r>
      <w:proofErr w:type="gramStart"/>
      <w:r w:rsidRPr="0054685C">
        <w:t>.</w:t>
      </w:r>
      <w:proofErr w:type="gramEnd"/>
      <w:r w:rsidRPr="0054685C">
        <w:t xml:space="preserve"> </w:t>
      </w:r>
      <w:proofErr w:type="gramStart"/>
      <w:r w:rsidRPr="0054685C">
        <w:rPr>
          <w:b/>
        </w:rPr>
        <w:t>с</w:t>
      </w:r>
      <w:proofErr w:type="gramEnd"/>
      <w:r w:rsidRPr="0054685C">
        <w:rPr>
          <w:b/>
        </w:rPr>
        <w:t xml:space="preserve">огласно ст.179.4 БК РФ и пункта 2.2 постановления Администрации </w:t>
      </w:r>
      <w:proofErr w:type="spellStart"/>
      <w:r w:rsidRPr="0054685C">
        <w:rPr>
          <w:b/>
        </w:rPr>
        <w:t>Поддорского</w:t>
      </w:r>
      <w:proofErr w:type="spellEnd"/>
      <w:r w:rsidRPr="0054685C">
        <w:rPr>
          <w:b/>
        </w:rPr>
        <w:t xml:space="preserve"> муниципального района от </w:t>
      </w:r>
      <w:r w:rsidR="00AC19F4">
        <w:rPr>
          <w:b/>
        </w:rPr>
        <w:lastRenderedPageBreak/>
        <w:t xml:space="preserve">16.12.2013№ 614 «О создании </w:t>
      </w:r>
      <w:r w:rsidR="001D2526">
        <w:rPr>
          <w:b/>
        </w:rPr>
        <w:t>дорожного фонда муниципального района» должны быть направлены на увеличение расходов дорожного фонда в 2016 году.</w:t>
      </w:r>
    </w:p>
    <w:p w:rsidR="001D2526" w:rsidRDefault="001D2526" w:rsidP="009C421F">
      <w:pPr>
        <w:jc w:val="both"/>
        <w:rPr>
          <w:b/>
        </w:rPr>
      </w:pPr>
    </w:p>
    <w:p w:rsidR="001D2526" w:rsidRPr="00D75582" w:rsidRDefault="001D2526" w:rsidP="001D2526">
      <w:pPr>
        <w:ind w:right="-309"/>
        <w:jc w:val="both"/>
        <w:rPr>
          <w:color w:val="000000"/>
        </w:rPr>
      </w:pPr>
      <w:r w:rsidRPr="00D75582">
        <w:t xml:space="preserve">Анализ </w:t>
      </w:r>
      <w:r w:rsidRPr="00D75582">
        <w:rPr>
          <w:b/>
        </w:rPr>
        <w:t>кредиторской задолженности</w:t>
      </w:r>
      <w:r w:rsidRPr="00D75582">
        <w:t xml:space="preserve"> по бюджету муниципального района за 2015 год показал, что согласно данным бюджетной отчетности кредиторская задолженность</w:t>
      </w:r>
      <w:r w:rsidRPr="00D75582">
        <w:rPr>
          <w:i/>
        </w:rPr>
        <w:t xml:space="preserve"> </w:t>
      </w:r>
      <w:r w:rsidRPr="00D75582">
        <w:t xml:space="preserve">по состоянию на 01.01.2016 составила </w:t>
      </w:r>
      <w:r w:rsidRPr="00D75582">
        <w:rPr>
          <w:b/>
        </w:rPr>
        <w:t>9 513 165 рублей 89 коп</w:t>
      </w:r>
      <w:proofErr w:type="gramStart"/>
      <w:r w:rsidRPr="00D75582">
        <w:t>.</w:t>
      </w:r>
      <w:proofErr w:type="gramEnd"/>
      <w:r w:rsidRPr="00D75582">
        <w:t xml:space="preserve"> (</w:t>
      </w:r>
      <w:proofErr w:type="gramStart"/>
      <w:r w:rsidRPr="00D75582">
        <w:t>в</w:t>
      </w:r>
      <w:proofErr w:type="gramEnd"/>
      <w:r w:rsidRPr="00D75582">
        <w:t xml:space="preserve"> основном является текущей задолженностью), в том числе</w:t>
      </w:r>
      <w:r w:rsidRPr="00D75582">
        <w:rPr>
          <w:color w:val="000000"/>
        </w:rPr>
        <w:t xml:space="preserve"> по автономным и бюджетным учреждениям числится  в сумме 7 381,6 тыс. рублей.</w:t>
      </w:r>
      <w:r w:rsidRPr="00D75582">
        <w:t xml:space="preserve"> Сумма просроченной задолженности в бюджете муниципального района составляет  </w:t>
      </w:r>
      <w:r>
        <w:rPr>
          <w:b/>
        </w:rPr>
        <w:t>3 716 983</w:t>
      </w:r>
      <w:r w:rsidRPr="00D75582">
        <w:rPr>
          <w:b/>
        </w:rPr>
        <w:t xml:space="preserve"> руб. </w:t>
      </w:r>
      <w:r>
        <w:rPr>
          <w:b/>
        </w:rPr>
        <w:t>56</w:t>
      </w:r>
      <w:r w:rsidRPr="00D75582">
        <w:rPr>
          <w:b/>
        </w:rPr>
        <w:t xml:space="preserve"> коп.,</w:t>
      </w:r>
      <w:r w:rsidRPr="00D75582">
        <w:t xml:space="preserve"> фактически в годовой отчетности сумма просроченной задолженности показана в </w:t>
      </w:r>
      <w:r w:rsidRPr="001D2526">
        <w:rPr>
          <w:b/>
        </w:rPr>
        <w:t>размере 3 186 781 руб.07 коп</w:t>
      </w:r>
      <w:r w:rsidRPr="00D75582">
        <w:t>..</w:t>
      </w:r>
      <w:r w:rsidRPr="00D75582">
        <w:rPr>
          <w:color w:val="000000"/>
        </w:rPr>
        <w:t xml:space="preserve"> из них просроченная  автономных и бюджетных учреждений в сумме  2 709,7 тыс. рублей или занижена на </w:t>
      </w:r>
      <w:r w:rsidRPr="001D2526">
        <w:rPr>
          <w:b/>
          <w:color w:val="000000"/>
        </w:rPr>
        <w:t>530 202</w:t>
      </w:r>
      <w:r w:rsidRPr="00D75582">
        <w:rPr>
          <w:b/>
          <w:color w:val="000000"/>
        </w:rPr>
        <w:t xml:space="preserve"> рубл</w:t>
      </w:r>
      <w:r>
        <w:rPr>
          <w:b/>
          <w:color w:val="000000"/>
        </w:rPr>
        <w:t>я</w:t>
      </w:r>
      <w:r w:rsidRPr="00D75582">
        <w:rPr>
          <w:b/>
          <w:color w:val="000000"/>
        </w:rPr>
        <w:t xml:space="preserve"> </w:t>
      </w:r>
      <w:r>
        <w:rPr>
          <w:b/>
          <w:color w:val="000000"/>
        </w:rPr>
        <w:t>49</w:t>
      </w:r>
      <w:r w:rsidRPr="00D75582">
        <w:rPr>
          <w:b/>
          <w:color w:val="000000"/>
        </w:rPr>
        <w:t xml:space="preserve"> коп</w:t>
      </w:r>
      <w:r w:rsidRPr="00D75582">
        <w:rPr>
          <w:color w:val="000000"/>
        </w:rPr>
        <w:t>.</w:t>
      </w:r>
      <w:proofErr w:type="gramStart"/>
      <w:r w:rsidRPr="00D75582">
        <w:rPr>
          <w:b/>
        </w:rPr>
        <w:t xml:space="preserve"> </w:t>
      </w:r>
      <w:r w:rsidRPr="005F60AD">
        <w:rPr>
          <w:b/>
        </w:rPr>
        <w:t>.</w:t>
      </w:r>
      <w:proofErr w:type="gramEnd"/>
      <w:r w:rsidRPr="005F60AD">
        <w:rPr>
          <w:b/>
        </w:rPr>
        <w:t xml:space="preserve">, это в основном за коммунальные услуги - </w:t>
      </w:r>
      <w:r w:rsidRPr="005F60AD">
        <w:t>ООО «МП ЖКХ НЖКС» за отопление январь-май 2013 года</w:t>
      </w:r>
      <w:r>
        <w:t xml:space="preserve"> и за </w:t>
      </w:r>
      <w:r w:rsidRPr="005F60AD">
        <w:rPr>
          <w:b/>
          <w:i/>
        </w:rPr>
        <w:t>право испол</w:t>
      </w:r>
      <w:r w:rsidR="00436178">
        <w:rPr>
          <w:b/>
          <w:i/>
        </w:rPr>
        <w:t xml:space="preserve">ьзования программного продукта </w:t>
      </w:r>
      <w:r w:rsidRPr="005F60AD">
        <w:rPr>
          <w:b/>
          <w:i/>
        </w:rPr>
        <w:t>«Парус-Бюджет 7</w:t>
      </w:r>
      <w:r w:rsidR="00436178">
        <w:t>».</w:t>
      </w:r>
      <w:r w:rsidR="001741F8" w:rsidRPr="001741F8">
        <w:t xml:space="preserve"> </w:t>
      </w:r>
      <w:r w:rsidR="001741F8" w:rsidRPr="005F60AD">
        <w:t>Сумма просроч</w:t>
      </w:r>
      <w:r w:rsidR="001741F8">
        <w:t>енной кредиторской задолженности составляет 37,9 процентов</w:t>
      </w:r>
      <w:r w:rsidR="001741F8" w:rsidRPr="005F60AD">
        <w:t xml:space="preserve"> от общей суммы задолженности</w:t>
      </w:r>
    </w:p>
    <w:p w:rsidR="001D2526" w:rsidRPr="00D75582" w:rsidRDefault="001D2526" w:rsidP="001D2526">
      <w:pPr>
        <w:ind w:right="-309" w:firstLine="709"/>
        <w:jc w:val="both"/>
        <w:rPr>
          <w:color w:val="000000"/>
        </w:rPr>
      </w:pPr>
      <w:r w:rsidRPr="00D75582">
        <w:rPr>
          <w:color w:val="000000"/>
        </w:rPr>
        <w:t>Кредиторская задолженность по собственным средствам учреждений – 69,9 тыс. рублей.</w:t>
      </w:r>
    </w:p>
    <w:p w:rsidR="001D2526" w:rsidRDefault="001D2526" w:rsidP="001D2526">
      <w:pPr>
        <w:ind w:left="-15"/>
        <w:jc w:val="both"/>
        <w:rPr>
          <w:rFonts w:eastAsia="Calibri"/>
          <w:lang w:eastAsia="en-US"/>
        </w:rPr>
      </w:pPr>
      <w:r w:rsidRPr="00D75582">
        <w:t xml:space="preserve"> </w:t>
      </w:r>
      <w:r w:rsidR="001741F8">
        <w:t xml:space="preserve">          </w:t>
      </w:r>
      <w:r w:rsidRPr="00D75582">
        <w:t xml:space="preserve">Увеличение объема кредиторской задолженности к уровню 2014 года (на </w:t>
      </w:r>
      <w:r>
        <w:t>3 817,0</w:t>
      </w:r>
      <w:r w:rsidRPr="00D75582">
        <w:t xml:space="preserve"> тыс. рублей) обусловлено недофинансированием: субсидий и субвенций муниципальным бюджетным и автономным учреждениям, в основном, учреждениям образования, а также неоплатой </w:t>
      </w:r>
      <w:r w:rsidRPr="00D75582">
        <w:rPr>
          <w:rFonts w:eastAsia="Calibri"/>
          <w:lang w:eastAsia="en-US"/>
        </w:rPr>
        <w:t xml:space="preserve"> начислений на выплаты по оплате труда за  декабрь 2015, за оказанные коммунальные услуги</w:t>
      </w:r>
      <w:r w:rsidR="001741F8">
        <w:rPr>
          <w:rFonts w:eastAsia="Calibri"/>
          <w:lang w:eastAsia="en-US"/>
        </w:rPr>
        <w:t>.</w:t>
      </w:r>
    </w:p>
    <w:p w:rsidR="001741F8" w:rsidRDefault="001741F8" w:rsidP="001D2526">
      <w:pPr>
        <w:ind w:left="-15"/>
        <w:jc w:val="both"/>
      </w:pPr>
      <w:r>
        <w:t xml:space="preserve">          </w:t>
      </w:r>
      <w:r w:rsidRPr="001741F8">
        <w:t>Сумма дебиторская задолженность</w:t>
      </w:r>
      <w:r>
        <w:t xml:space="preserve"> по бюджетным средствам по состоянию на 01.01.2016</w:t>
      </w:r>
      <w:r w:rsidRPr="001741F8">
        <w:t xml:space="preserve"> года</w:t>
      </w:r>
      <w:r>
        <w:t xml:space="preserve"> составляет по муниципальным автономным и бюджетным учреждениям в сумме 2,3 тыс. рублей.</w:t>
      </w:r>
    </w:p>
    <w:p w:rsidR="001741F8" w:rsidRDefault="001741F8" w:rsidP="001D2526">
      <w:pPr>
        <w:ind w:left="-15"/>
        <w:jc w:val="both"/>
      </w:pPr>
      <w:r>
        <w:t xml:space="preserve"> </w:t>
      </w:r>
    </w:p>
    <w:p w:rsidR="001741F8" w:rsidRDefault="001741F8" w:rsidP="001D2526">
      <w:pPr>
        <w:ind w:left="-15"/>
        <w:jc w:val="both"/>
        <w:rPr>
          <w:b/>
        </w:rPr>
      </w:pPr>
      <w:r w:rsidRPr="001741F8">
        <w:rPr>
          <w:b/>
        </w:rPr>
        <w:t xml:space="preserve">  Состояние муниципального долга  в бюджете муниципального района</w:t>
      </w:r>
    </w:p>
    <w:p w:rsidR="001741F8" w:rsidRPr="005F60AD" w:rsidRDefault="001741F8" w:rsidP="001741F8">
      <w:pPr>
        <w:jc w:val="both"/>
      </w:pPr>
      <w:r w:rsidRPr="005F60AD">
        <w:rPr>
          <w:b/>
        </w:rPr>
        <w:t xml:space="preserve">    </w:t>
      </w:r>
      <w:r w:rsidRPr="005F60AD">
        <w:t xml:space="preserve">  </w:t>
      </w:r>
      <w:proofErr w:type="gramStart"/>
      <w:r w:rsidRPr="000C386C">
        <w:t xml:space="preserve">Муниципальный долг </w:t>
      </w:r>
      <w:proofErr w:type="spellStart"/>
      <w:r w:rsidRPr="000C386C">
        <w:t>Поддорского</w:t>
      </w:r>
      <w:proofErr w:type="spellEnd"/>
      <w:r w:rsidRPr="000C386C">
        <w:t xml:space="preserve"> муниципального района по состоянию </w:t>
      </w:r>
      <w:r w:rsidRPr="000C386C">
        <w:rPr>
          <w:i/>
        </w:rPr>
        <w:t>на 01.01.2015 года</w:t>
      </w:r>
      <w:r w:rsidRPr="000C386C">
        <w:t xml:space="preserve"> составлял </w:t>
      </w:r>
      <w:r w:rsidRPr="000C386C">
        <w:rPr>
          <w:b/>
        </w:rPr>
        <w:t xml:space="preserve">5 848 676 рублей </w:t>
      </w:r>
      <w:r w:rsidRPr="000C386C">
        <w:t xml:space="preserve"> или </w:t>
      </w:r>
      <w:r w:rsidR="00261FB5" w:rsidRPr="00261FB5">
        <w:rPr>
          <w:b/>
        </w:rPr>
        <w:t>34,9</w:t>
      </w:r>
      <w:r w:rsidRPr="000C386C">
        <w:rPr>
          <w:b/>
        </w:rPr>
        <w:t xml:space="preserve"> %</w:t>
      </w:r>
      <w:r w:rsidRPr="000C386C">
        <w:t xml:space="preserve">   от годового объема доходов бюджета муниципального района без учета утвержденного объема безвозмездных поступлений и</w:t>
      </w:r>
      <w:r w:rsidR="00261FB5">
        <w:t xml:space="preserve"> (или) поступлений налоговых доходов по дополнительным</w:t>
      </w:r>
      <w:r w:rsidRPr="000C386C">
        <w:t xml:space="preserve"> </w:t>
      </w:r>
      <w:r w:rsidR="00261FB5">
        <w:t>нормативам отчислений и</w:t>
      </w:r>
      <w:r w:rsidRPr="000C386C">
        <w:t xml:space="preserve"> не </w:t>
      </w:r>
      <w:r w:rsidR="00261FB5">
        <w:t>должен превышать 50 %</w:t>
      </w:r>
      <w:r w:rsidRPr="000C386C">
        <w:t xml:space="preserve">, установленный п.3 ст.107 Бюджетного Кодекса РФ  и на </w:t>
      </w:r>
      <w:r w:rsidRPr="000C386C">
        <w:rPr>
          <w:i/>
        </w:rPr>
        <w:t>01.01.2016 года</w:t>
      </w:r>
      <w:r w:rsidRPr="000C386C">
        <w:t xml:space="preserve"> </w:t>
      </w:r>
      <w:r w:rsidRPr="000C386C">
        <w:rPr>
          <w:b/>
        </w:rPr>
        <w:t>составляет 4 862 000</w:t>
      </w:r>
      <w:proofErr w:type="gramEnd"/>
      <w:r w:rsidRPr="000C386C">
        <w:rPr>
          <w:b/>
        </w:rPr>
        <w:t xml:space="preserve"> руб. </w:t>
      </w:r>
      <w:r w:rsidRPr="000C386C">
        <w:t xml:space="preserve"> </w:t>
      </w:r>
      <w:r w:rsidRPr="00261FB5">
        <w:rPr>
          <w:b/>
        </w:rPr>
        <w:t xml:space="preserve">или </w:t>
      </w:r>
      <w:r w:rsidR="00261FB5" w:rsidRPr="00261FB5">
        <w:rPr>
          <w:b/>
        </w:rPr>
        <w:t>24,2</w:t>
      </w:r>
      <w:r w:rsidRPr="000C386C">
        <w:rPr>
          <w:b/>
        </w:rPr>
        <w:t xml:space="preserve"> %</w:t>
      </w:r>
      <w:r w:rsidRPr="000C386C">
        <w:t xml:space="preserve"> от годового объема доходов бюджета муниципального района без учета утвержденного объема безвозмездных поступлений </w:t>
      </w:r>
      <w:r w:rsidR="00261FB5">
        <w:t>и (или) поступлений налоговых доходов по дополнительным</w:t>
      </w:r>
      <w:r w:rsidR="00261FB5" w:rsidRPr="000C386C">
        <w:t xml:space="preserve"> </w:t>
      </w:r>
      <w:r w:rsidR="00261FB5">
        <w:t>нормативам отчислений и</w:t>
      </w:r>
      <w:r w:rsidR="00261FB5" w:rsidRPr="000C386C">
        <w:t xml:space="preserve"> не </w:t>
      </w:r>
      <w:r w:rsidR="00261FB5">
        <w:t>должен превышать 50 %</w:t>
      </w:r>
      <w:r w:rsidR="00261FB5" w:rsidRPr="000C386C">
        <w:t xml:space="preserve">, </w:t>
      </w:r>
      <w:r w:rsidRPr="000C386C">
        <w:t xml:space="preserve"> установленный п.3 ст.107 Бюджетного Кодекса РФ.</w:t>
      </w:r>
    </w:p>
    <w:p w:rsidR="001741F8" w:rsidRPr="005F60AD" w:rsidRDefault="001741F8" w:rsidP="001741F8">
      <w:pPr>
        <w:jc w:val="both"/>
        <w:rPr>
          <w:b/>
        </w:rPr>
      </w:pPr>
      <w:r w:rsidRPr="005F60AD">
        <w:rPr>
          <w:color w:val="FF0000"/>
        </w:rPr>
        <w:t xml:space="preserve">          </w:t>
      </w:r>
      <w:r>
        <w:t>Н</w:t>
      </w:r>
      <w:r w:rsidRPr="005F60AD">
        <w:t>а 01.01.201</w:t>
      </w:r>
      <w:r>
        <w:t>6</w:t>
      </w:r>
      <w:r w:rsidRPr="005F60AD">
        <w:t xml:space="preserve"> год муниципальный долг  уменьшился  на  </w:t>
      </w:r>
      <w:r w:rsidRPr="005F60AD">
        <w:rPr>
          <w:b/>
        </w:rPr>
        <w:t>9</w:t>
      </w:r>
      <w:r>
        <w:rPr>
          <w:b/>
        </w:rPr>
        <w:t>86 676  рублей</w:t>
      </w:r>
      <w:r w:rsidRPr="005F60AD">
        <w:rPr>
          <w:b/>
        </w:rPr>
        <w:t>.</w:t>
      </w:r>
    </w:p>
    <w:p w:rsidR="001741F8" w:rsidRDefault="001741F8" w:rsidP="001741F8">
      <w:pPr>
        <w:autoSpaceDE w:val="0"/>
        <w:autoSpaceDN w:val="0"/>
        <w:adjustRightInd w:val="0"/>
        <w:jc w:val="both"/>
      </w:pPr>
      <w:r>
        <w:t>О</w:t>
      </w:r>
      <w:r w:rsidRPr="005F60AD">
        <w:t xml:space="preserve">бязательств по муниципальным гарантиям по состоянию на </w:t>
      </w:r>
      <w:r>
        <w:t>0</w:t>
      </w:r>
      <w:r w:rsidRPr="005F60AD">
        <w:t>1.</w:t>
      </w:r>
      <w:r>
        <w:t>0</w:t>
      </w:r>
      <w:r w:rsidRPr="005F60AD">
        <w:t>1.201</w:t>
      </w:r>
      <w:r>
        <w:t>5</w:t>
      </w:r>
      <w:r w:rsidRPr="005F60AD">
        <w:t xml:space="preserve"> года</w:t>
      </w:r>
      <w:r>
        <w:t xml:space="preserve"> и на 01.01.2016 года</w:t>
      </w:r>
      <w:r w:rsidRPr="005F60AD">
        <w:t xml:space="preserve"> </w:t>
      </w:r>
      <w:r w:rsidRPr="008F56B8">
        <w:rPr>
          <w:b/>
        </w:rPr>
        <w:t>не имеется</w:t>
      </w:r>
      <w:r>
        <w:t>.</w:t>
      </w:r>
    </w:p>
    <w:p w:rsidR="001741F8" w:rsidRPr="00D75582" w:rsidRDefault="001741F8" w:rsidP="001D2526">
      <w:pPr>
        <w:ind w:left="-15"/>
        <w:jc w:val="both"/>
      </w:pPr>
      <w:r>
        <w:t xml:space="preserve">          </w:t>
      </w:r>
      <w:r w:rsidRPr="005F60AD">
        <w:t xml:space="preserve">Анализ структуры муниципального долга по состоянию на 01.01.2015 </w:t>
      </w:r>
      <w:r>
        <w:t xml:space="preserve">и на 01.01.2016 </w:t>
      </w:r>
      <w:r w:rsidRPr="005F60AD">
        <w:t>года свидетельствует, что общий объем внутреннего  долга  соответствует данным муниципальной долговой книги и данным Главной книги бюджета муниципального района. Акт сверки обязательств бюджета района перед областным бюджетом на конец отчетного периода оформлен.</w:t>
      </w:r>
    </w:p>
    <w:p w:rsidR="001741F8" w:rsidRDefault="001741F8" w:rsidP="009C421F">
      <w:pPr>
        <w:jc w:val="both"/>
      </w:pPr>
      <w:r w:rsidRPr="001741F8">
        <w:t xml:space="preserve">        </w:t>
      </w:r>
    </w:p>
    <w:p w:rsidR="001D2526" w:rsidRDefault="001741F8" w:rsidP="009C421F">
      <w:pPr>
        <w:jc w:val="both"/>
      </w:pPr>
      <w:r>
        <w:t xml:space="preserve">       </w:t>
      </w:r>
      <w:r w:rsidRPr="001741F8">
        <w:t xml:space="preserve"> Достоверность  отчетных данных о состоянии муниципального долга по состоянию на 01.01.2016 года подтверждено  результатами инвентаризации, проведенной комитетом финансов Администрации муниципального района по всем видам заимствований. Просроченная задолженность отсутствует.</w:t>
      </w:r>
    </w:p>
    <w:p w:rsidR="0062368D" w:rsidRDefault="0062368D" w:rsidP="009C421F">
      <w:pPr>
        <w:jc w:val="both"/>
      </w:pPr>
      <w:r>
        <w:t xml:space="preserve">      На отчетный период предельный объем обязательств по муниципальному долу на 01.0.2016 года установлен в размере 8 200,0 тыс. рублей </w:t>
      </w:r>
      <w:proofErr w:type="gramStart"/>
      <w:r>
        <w:t>согласно пункта</w:t>
      </w:r>
      <w:proofErr w:type="gramEnd"/>
      <w:r>
        <w:t xml:space="preserve"> 40 решения </w:t>
      </w:r>
      <w:r>
        <w:lastRenderedPageBreak/>
        <w:t>Думы муниципального района от 18.12.2014 № 677 «О бюджете муниципального района на 2015 гол и на плановый период 2016 и 2017 годов».</w:t>
      </w:r>
    </w:p>
    <w:p w:rsidR="0062368D" w:rsidRDefault="0062368D" w:rsidP="009C421F">
      <w:pPr>
        <w:jc w:val="both"/>
      </w:pPr>
      <w:r>
        <w:t xml:space="preserve">           </w:t>
      </w:r>
      <w:proofErr w:type="gramStart"/>
      <w:r w:rsidRPr="00A0082E">
        <w:t xml:space="preserve">Расходы на обслуживание муниципального долга в 2015 году составили в сумме   107 121 руб.28 коп.,  что составило исполнение  97,7 процентов к плану или  0,07 процента  к общему исполнению расходной части бюджета муниципального района за 2015 год </w:t>
      </w:r>
      <w:r w:rsidRPr="00A0082E">
        <w:rPr>
          <w:b/>
        </w:rPr>
        <w:t>или 0,13 процентов</w:t>
      </w:r>
      <w:r w:rsidRPr="00A0082E">
        <w:t xml:space="preserve">   от объема расходов  бюджета муниципального района, за исключением объема расходов, которые осуществляются за счет субвенций, предоставляемых из бюджетов бюджетной системы</w:t>
      </w:r>
      <w:proofErr w:type="gramEnd"/>
      <w:r w:rsidRPr="00A0082E">
        <w:t xml:space="preserve"> Российской Федерации, что  соответствует  ст.111 БК РФ о предельном объеме  расходов на обслуживание муниципального дол</w:t>
      </w:r>
      <w:r>
        <w:t>га в очередном финансовом году.</w:t>
      </w:r>
    </w:p>
    <w:p w:rsidR="0062368D" w:rsidRPr="005F60AD" w:rsidRDefault="0062368D" w:rsidP="0062368D">
      <w:pPr>
        <w:rPr>
          <w:b/>
          <w:bCs/>
        </w:rPr>
      </w:pPr>
      <w:r>
        <w:rPr>
          <w:b/>
          <w:bCs/>
        </w:rPr>
        <w:t>Анализ задолженности по бюджетным кредитам, предоставленным из</w:t>
      </w:r>
      <w:r w:rsidRPr="005F60AD">
        <w:rPr>
          <w:b/>
          <w:bCs/>
        </w:rPr>
        <w:t xml:space="preserve"> бюджета муниципального района юридическим лицам</w:t>
      </w:r>
    </w:p>
    <w:p w:rsidR="0062368D" w:rsidRPr="005F60AD" w:rsidRDefault="0062368D" w:rsidP="0062368D">
      <w:pPr>
        <w:ind w:firstLine="720"/>
        <w:jc w:val="both"/>
      </w:pPr>
      <w:r w:rsidRPr="005F60AD">
        <w:t>Согласно данным бюджетного учета, объем задолженности юридических лиц (</w:t>
      </w:r>
      <w:proofErr w:type="spellStart"/>
      <w:r w:rsidRPr="005F60AD">
        <w:t>сельхозтоваропроизводителей</w:t>
      </w:r>
      <w:proofErr w:type="spellEnd"/>
      <w:r w:rsidRPr="005F60AD">
        <w:t>) по кредитам перед бюджетом района по состоянию на 01.01.201</w:t>
      </w:r>
      <w:r>
        <w:t>5</w:t>
      </w:r>
      <w:r w:rsidRPr="005F60AD">
        <w:t xml:space="preserve"> года составлял  190 403 руб.08 коп</w:t>
      </w:r>
      <w:proofErr w:type="gramStart"/>
      <w:r w:rsidRPr="005F60AD">
        <w:t>.</w:t>
      </w:r>
      <w:proofErr w:type="gramEnd"/>
      <w:r w:rsidRPr="005F60AD">
        <w:t xml:space="preserve"> (</w:t>
      </w:r>
      <w:proofErr w:type="gramStart"/>
      <w:r w:rsidRPr="005F60AD">
        <w:rPr>
          <w:b/>
          <w:i/>
        </w:rPr>
        <w:t>в</w:t>
      </w:r>
      <w:proofErr w:type="gramEnd"/>
      <w:r w:rsidRPr="005F60AD">
        <w:rPr>
          <w:b/>
          <w:i/>
        </w:rPr>
        <w:t xml:space="preserve">ся сумма является просроченным основным долгом). </w:t>
      </w:r>
    </w:p>
    <w:p w:rsidR="0062368D" w:rsidRPr="005F60AD" w:rsidRDefault="0062368D" w:rsidP="0062368D">
      <w:pPr>
        <w:ind w:firstLine="720"/>
        <w:jc w:val="both"/>
        <w:rPr>
          <w:b/>
          <w:i/>
        </w:rPr>
      </w:pPr>
      <w:r>
        <w:t xml:space="preserve"> В 2015</w:t>
      </w:r>
      <w:r w:rsidRPr="005F60AD">
        <w:t xml:space="preserve"> году задолженность по бюджетным кредитам юридическими лицами перед бюджетом района не гаси</w:t>
      </w:r>
      <w:r>
        <w:t xml:space="preserve">лась. По состоянию на 01.01.2016 </w:t>
      </w:r>
      <w:r w:rsidRPr="005F60AD">
        <w:t>года объем непогашенных обязательств юридическими лицами составил  190 403 руб.08 коп. Сверка обязательств на 01.01.201</w:t>
      </w:r>
      <w:r>
        <w:t>6</w:t>
      </w:r>
      <w:r w:rsidRPr="005F60AD">
        <w:t xml:space="preserve"> года  </w:t>
      </w:r>
      <w:r w:rsidRPr="005F60AD">
        <w:rPr>
          <w:b/>
          <w:i/>
        </w:rPr>
        <w:t xml:space="preserve"> осуществлялась.</w:t>
      </w:r>
    </w:p>
    <w:p w:rsidR="0062368D" w:rsidRPr="005F60AD" w:rsidRDefault="0062368D" w:rsidP="0062368D">
      <w:pPr>
        <w:ind w:firstLine="720"/>
        <w:jc w:val="both"/>
        <w:rPr>
          <w:color w:val="000000"/>
        </w:rPr>
      </w:pPr>
      <w:r w:rsidRPr="005F60AD">
        <w:rPr>
          <w:color w:val="000000"/>
        </w:rPr>
        <w:t>В соответствии с пунктом 7 приказа Министерства финансов Российской Федерации от 28.12.2010 № 191н  «О порядке составления и представления годовой квартальной и месячной отчетности об исполнении бюджетов бюджетной системы Российской Федерации»  произведена инвентаризация обязательств по обязательствам юридических лиц перед бюджетом района.</w:t>
      </w:r>
    </w:p>
    <w:p w:rsidR="0062368D" w:rsidRPr="005F60AD" w:rsidRDefault="0062368D" w:rsidP="0062368D">
      <w:pPr>
        <w:ind w:firstLine="720"/>
        <w:jc w:val="both"/>
        <w:rPr>
          <w:color w:val="000000"/>
        </w:rPr>
      </w:pPr>
      <w:r w:rsidRPr="005F60AD">
        <w:rPr>
          <w:color w:val="000000"/>
        </w:rPr>
        <w:t>В соответствии с Инструкцией  № 157н синтетический и аналитический учет по счету 1207000 «Расчеты с дебиторами по бюджетным кредитам»  ве</w:t>
      </w:r>
      <w:r>
        <w:rPr>
          <w:color w:val="000000"/>
        </w:rPr>
        <w:t>д</w:t>
      </w:r>
      <w:r w:rsidRPr="005F60AD">
        <w:rPr>
          <w:color w:val="000000"/>
        </w:rPr>
        <w:t>ется и соответствует ф.05030130 Балансу строке 290. По представленной Комитетом финансов информации установлено, что на балансе Комитета финансов на 01.01.201</w:t>
      </w:r>
      <w:r>
        <w:rPr>
          <w:color w:val="000000"/>
        </w:rPr>
        <w:t>6</w:t>
      </w:r>
      <w:r w:rsidRPr="005F60AD">
        <w:rPr>
          <w:color w:val="000000"/>
        </w:rPr>
        <w:t xml:space="preserve"> числится задолженность 15-ти коммерческих организаций. </w:t>
      </w:r>
    </w:p>
    <w:p w:rsidR="0062368D" w:rsidRDefault="0062368D" w:rsidP="0062368D">
      <w:pPr>
        <w:jc w:val="both"/>
        <w:rPr>
          <w:b/>
          <w:i/>
          <w:color w:val="000000"/>
        </w:rPr>
      </w:pPr>
      <w:r w:rsidRPr="005F60AD">
        <w:rPr>
          <w:color w:val="000000"/>
        </w:rPr>
        <w:t xml:space="preserve">Информация об осуществлении деятельности данных организаций или об их исключении  из единого государственного реестра юридических лиц в Комитете финансов </w:t>
      </w:r>
      <w:r w:rsidRPr="00D75582">
        <w:rPr>
          <w:b/>
          <w:i/>
          <w:color w:val="000000"/>
        </w:rPr>
        <w:t>имеется</w:t>
      </w:r>
      <w:r>
        <w:rPr>
          <w:b/>
          <w:i/>
          <w:color w:val="000000"/>
        </w:rPr>
        <w:t>.</w:t>
      </w:r>
    </w:p>
    <w:p w:rsidR="0062368D" w:rsidRDefault="0062368D" w:rsidP="0062368D">
      <w:pPr>
        <w:jc w:val="both"/>
        <w:rPr>
          <w:b/>
          <w:i/>
          <w:color w:val="000000"/>
        </w:rPr>
      </w:pPr>
    </w:p>
    <w:p w:rsidR="0062368D" w:rsidRDefault="0062368D" w:rsidP="0062368D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Выводы:</w:t>
      </w:r>
    </w:p>
    <w:p w:rsidR="000B2F11" w:rsidRPr="005F60AD" w:rsidRDefault="000B2F11" w:rsidP="000B2F11">
      <w:pPr>
        <w:autoSpaceDE w:val="0"/>
        <w:autoSpaceDN w:val="0"/>
        <w:adjustRightInd w:val="0"/>
        <w:jc w:val="both"/>
        <w:rPr>
          <w:b/>
        </w:rPr>
      </w:pPr>
      <w:r w:rsidRPr="005F60AD">
        <w:rPr>
          <w:b/>
        </w:rPr>
        <w:t xml:space="preserve">        Проверкой выявлены следующие нарушения и недостатки, в представленной годовой бюджетной отчетности Главных администраторов бюджетных средств в общей сумме </w:t>
      </w:r>
      <w:r>
        <w:rPr>
          <w:b/>
        </w:rPr>
        <w:t>732 951</w:t>
      </w:r>
      <w:r w:rsidRPr="00BF214A">
        <w:rPr>
          <w:b/>
        </w:rPr>
        <w:t xml:space="preserve"> руб. </w:t>
      </w:r>
      <w:r>
        <w:rPr>
          <w:b/>
        </w:rPr>
        <w:t>36</w:t>
      </w:r>
      <w:r w:rsidRPr="00BF214A">
        <w:rPr>
          <w:b/>
        </w:rPr>
        <w:t xml:space="preserve"> коп</w:t>
      </w:r>
      <w:proofErr w:type="gramStart"/>
      <w:r w:rsidRPr="00BF214A">
        <w:rPr>
          <w:b/>
        </w:rPr>
        <w:t>.:</w:t>
      </w:r>
      <w:r w:rsidRPr="005F60AD">
        <w:rPr>
          <w:b/>
        </w:rPr>
        <w:t xml:space="preserve"> </w:t>
      </w:r>
      <w:proofErr w:type="gramEnd"/>
    </w:p>
    <w:p w:rsidR="000B2F11" w:rsidRPr="00BF214A" w:rsidRDefault="000B2F11" w:rsidP="000B2F11">
      <w:pPr>
        <w:autoSpaceDE w:val="0"/>
        <w:autoSpaceDN w:val="0"/>
        <w:adjustRightInd w:val="0"/>
        <w:jc w:val="both"/>
        <w:rPr>
          <w:b/>
        </w:rPr>
      </w:pPr>
      <w:r w:rsidRPr="005F60AD">
        <w:rPr>
          <w:b/>
        </w:rPr>
        <w:t xml:space="preserve"> </w:t>
      </w:r>
      <w:r w:rsidRPr="00BF214A">
        <w:rPr>
          <w:b/>
        </w:rPr>
        <w:t>Нарушения Бюджетного кодекса РФ (4 ГРБС), а именно:</w:t>
      </w:r>
    </w:p>
    <w:p w:rsidR="000B2F11" w:rsidRPr="00BF214A" w:rsidRDefault="000B2F11" w:rsidP="000B2F11">
      <w:pPr>
        <w:autoSpaceDE w:val="0"/>
        <w:autoSpaceDN w:val="0"/>
        <w:adjustRightInd w:val="0"/>
        <w:ind w:left="75"/>
        <w:jc w:val="both"/>
        <w:rPr>
          <w:b/>
        </w:rPr>
      </w:pPr>
      <w:r>
        <w:t xml:space="preserve">1.1. </w:t>
      </w:r>
      <w:r w:rsidRPr="0090393B">
        <w:rPr>
          <w:b/>
        </w:rPr>
        <w:t>Нарушения  статьи 160</w:t>
      </w:r>
      <w:r w:rsidRPr="0090393B">
        <w:rPr>
          <w:b/>
          <w:vertAlign w:val="superscript"/>
        </w:rPr>
        <w:t>1</w:t>
      </w:r>
      <w:r w:rsidRPr="0090393B">
        <w:rPr>
          <w:b/>
        </w:rPr>
        <w:t xml:space="preserve"> Бюджетного кодекса Российской Федерации</w:t>
      </w:r>
      <w:r>
        <w:t>:</w:t>
      </w:r>
    </w:p>
    <w:p w:rsidR="000B2F11" w:rsidRPr="00BF214A" w:rsidRDefault="000B2F11" w:rsidP="000B2F11">
      <w:pPr>
        <w:autoSpaceDE w:val="0"/>
        <w:autoSpaceDN w:val="0"/>
        <w:adjustRightInd w:val="0"/>
        <w:ind w:left="435"/>
        <w:jc w:val="both"/>
        <w:rPr>
          <w:b/>
        </w:rPr>
      </w:pPr>
      <w:r w:rsidRPr="00BF214A">
        <w:t>Неосуществление бюджетных пол</w:t>
      </w:r>
      <w:r>
        <w:t xml:space="preserve">номочий главного администратора </w:t>
      </w:r>
      <w:r w:rsidRPr="00BF214A">
        <w:t xml:space="preserve">(администратора) доходов бюджета </w:t>
      </w:r>
      <w:r>
        <w:t xml:space="preserve"> (пункт 2.98 Классификатора нарушений) </w:t>
      </w:r>
    </w:p>
    <w:p w:rsidR="000B2F11" w:rsidRPr="0090393B" w:rsidRDefault="000B2F11" w:rsidP="000B2F11">
      <w:pPr>
        <w:ind w:left="75"/>
        <w:jc w:val="both"/>
        <w:rPr>
          <w:b/>
        </w:rPr>
      </w:pPr>
      <w:r w:rsidRPr="00BF214A">
        <w:t xml:space="preserve">-упущенная возможность пополнения бюджета муниципального района  - </w:t>
      </w:r>
      <w:r w:rsidRPr="0090393B">
        <w:rPr>
          <w:b/>
        </w:rPr>
        <w:t>197 147 руб.35 коп</w:t>
      </w:r>
      <w:proofErr w:type="gramStart"/>
      <w:r w:rsidRPr="0090393B">
        <w:rPr>
          <w:b/>
        </w:rPr>
        <w:t>.;</w:t>
      </w:r>
      <w:proofErr w:type="gramEnd"/>
    </w:p>
    <w:p w:rsidR="000B2F11" w:rsidRPr="0090393B" w:rsidRDefault="000B2F11" w:rsidP="000B2F11">
      <w:pPr>
        <w:ind w:left="75"/>
        <w:jc w:val="both"/>
      </w:pPr>
      <w:r>
        <w:rPr>
          <w:b/>
        </w:rPr>
        <w:t>1.</w:t>
      </w:r>
      <w:r w:rsidRPr="0090393B">
        <w:rPr>
          <w:b/>
        </w:rPr>
        <w:t>2.В нарушение пункта 3 статьи 219 Бюджетного кодекса РФ</w:t>
      </w:r>
      <w:r w:rsidRPr="0090393B">
        <w:t xml:space="preserve"> комитетом ЭМИ приняты бюджетные обязательства сверх доведенных до них лимитов бюджетных обязательств </w:t>
      </w:r>
      <w:r w:rsidRPr="0090393B">
        <w:rPr>
          <w:b/>
        </w:rPr>
        <w:t>на общую сумму  6 501 рубль 52 копейки</w:t>
      </w:r>
      <w:r w:rsidRPr="0090393B">
        <w:t>.</w:t>
      </w:r>
    </w:p>
    <w:p w:rsidR="000B2F11" w:rsidRDefault="000B2F11" w:rsidP="000B2F11">
      <w:pPr>
        <w:ind w:left="75"/>
        <w:jc w:val="both"/>
      </w:pPr>
      <w:r w:rsidRPr="0090393B">
        <w:rPr>
          <w:b/>
        </w:rPr>
        <w:t xml:space="preserve">2. Нарушения  статьи 11 Федерального закона от 6 декабря </w:t>
      </w:r>
      <w:smartTag w:uri="urn:schemas-microsoft-com:office:smarttags" w:element="metricconverter">
        <w:smartTagPr>
          <w:attr w:name="ProductID" w:val="2011 г"/>
        </w:smartTagPr>
        <w:r w:rsidRPr="0090393B">
          <w:rPr>
            <w:b/>
          </w:rPr>
          <w:t>2011 г</w:t>
        </w:r>
      </w:smartTag>
      <w:r w:rsidRPr="0090393B">
        <w:rPr>
          <w:b/>
        </w:rPr>
        <w:t>. № 402-ФЗ</w:t>
      </w:r>
      <w:r w:rsidRPr="003A6861">
        <w:t xml:space="preserve"> «О бухгалтерском учете» (об инвентаризации активов к годовой отчетности)</w:t>
      </w:r>
      <w:r>
        <w:t>.</w:t>
      </w:r>
    </w:p>
    <w:p w:rsidR="000B2F11" w:rsidRPr="00BF214A" w:rsidRDefault="000B2F11" w:rsidP="000B2F11">
      <w:pPr>
        <w:jc w:val="both"/>
      </w:pPr>
      <w:r w:rsidRPr="00BF214A">
        <w:t>-другие финансовые нарушения при ведении бюджетного учета – занижен</w:t>
      </w:r>
      <w:r>
        <w:t>а</w:t>
      </w:r>
      <w:r w:rsidRPr="00BF214A">
        <w:t xml:space="preserve"> просроченная кредиторская задолженность на сумму </w:t>
      </w:r>
      <w:r w:rsidRPr="00BF214A">
        <w:rPr>
          <w:b/>
        </w:rPr>
        <w:t>530 202 руб.49 коп</w:t>
      </w:r>
      <w:r w:rsidRPr="00BF214A">
        <w:t>.</w:t>
      </w:r>
    </w:p>
    <w:p w:rsidR="0062368D" w:rsidRDefault="0062368D" w:rsidP="0062368D">
      <w:pPr>
        <w:jc w:val="both"/>
      </w:pPr>
      <w:r>
        <w:t>.</w:t>
      </w:r>
    </w:p>
    <w:p w:rsidR="0062368D" w:rsidRDefault="0062368D" w:rsidP="0062368D">
      <w:pPr>
        <w:jc w:val="both"/>
      </w:pPr>
    </w:p>
    <w:p w:rsidR="0062368D" w:rsidRDefault="0062368D" w:rsidP="0062368D">
      <w:pPr>
        <w:jc w:val="both"/>
        <w:rPr>
          <w:b/>
          <w:i/>
        </w:rPr>
      </w:pPr>
      <w:r w:rsidRPr="0062368D">
        <w:rPr>
          <w:b/>
          <w:i/>
        </w:rPr>
        <w:lastRenderedPageBreak/>
        <w:t xml:space="preserve">Предложения: </w:t>
      </w:r>
    </w:p>
    <w:p w:rsidR="00233D59" w:rsidRDefault="00233D59" w:rsidP="0062368D">
      <w:pPr>
        <w:jc w:val="both"/>
      </w:pPr>
      <w:r w:rsidRPr="00233D59">
        <w:t>Проект решения Думы муниципального района «Об исполнении бюджета муниципального района за 2015 год» отражает достоверность во всех существенных отношениях кассового исполнения доходов, расходов и источников финансирования дефицита бюджета муниципального района за период с 1 января по 31 декабря 2015 года включительно.</w:t>
      </w:r>
    </w:p>
    <w:p w:rsidR="00233D59" w:rsidRDefault="00233D59" w:rsidP="0062368D">
      <w:pPr>
        <w:jc w:val="both"/>
        <w:rPr>
          <w:b/>
          <w:i/>
        </w:rPr>
      </w:pPr>
      <w:r w:rsidRPr="00233D59">
        <w:rPr>
          <w:b/>
          <w:i/>
        </w:rPr>
        <w:t xml:space="preserve">       Контрольно-счетная Палата </w:t>
      </w:r>
      <w:proofErr w:type="spellStart"/>
      <w:r w:rsidRPr="00233D59">
        <w:rPr>
          <w:b/>
          <w:i/>
        </w:rPr>
        <w:t>Поддорского</w:t>
      </w:r>
      <w:proofErr w:type="spellEnd"/>
      <w:r w:rsidRPr="00233D59">
        <w:rPr>
          <w:b/>
          <w:i/>
        </w:rPr>
        <w:t xml:space="preserve"> муниципального района рекомендует утвердить отчет об исполнении бюджета муниципального района за 2015 год.</w:t>
      </w:r>
    </w:p>
    <w:p w:rsidR="00233D59" w:rsidRPr="00233D59" w:rsidRDefault="00233D59" w:rsidP="0062368D">
      <w:pPr>
        <w:jc w:val="both"/>
        <w:rPr>
          <w:b/>
        </w:rPr>
      </w:pPr>
      <w:r w:rsidRPr="00233D59">
        <w:rPr>
          <w:b/>
        </w:rPr>
        <w:t xml:space="preserve">Председатель </w:t>
      </w:r>
      <w:proofErr w:type="gramStart"/>
      <w:r w:rsidRPr="00233D59">
        <w:rPr>
          <w:b/>
        </w:rPr>
        <w:t>Контрольно-счетной</w:t>
      </w:r>
      <w:proofErr w:type="gramEnd"/>
    </w:p>
    <w:p w:rsidR="00233D59" w:rsidRPr="00233D59" w:rsidRDefault="00233D59" w:rsidP="0062368D">
      <w:pPr>
        <w:jc w:val="both"/>
        <w:rPr>
          <w:b/>
        </w:rPr>
      </w:pPr>
      <w:r w:rsidRPr="00233D59">
        <w:rPr>
          <w:b/>
        </w:rPr>
        <w:t xml:space="preserve">Палаты                                                               </w:t>
      </w:r>
      <w:proofErr w:type="spellStart"/>
      <w:r w:rsidRPr="00233D59">
        <w:rPr>
          <w:b/>
        </w:rPr>
        <w:t>Г.В.Тыщенко</w:t>
      </w:r>
      <w:proofErr w:type="spellEnd"/>
    </w:p>
    <w:p w:rsidR="00233D59" w:rsidRDefault="00233D59" w:rsidP="0062368D">
      <w:pPr>
        <w:jc w:val="both"/>
        <w:rPr>
          <w:b/>
          <w:i/>
        </w:rPr>
      </w:pPr>
    </w:p>
    <w:p w:rsidR="00233D59" w:rsidRPr="00233D59" w:rsidRDefault="00233D59" w:rsidP="0062368D">
      <w:pPr>
        <w:jc w:val="both"/>
        <w:rPr>
          <w:b/>
          <w:i/>
        </w:rPr>
      </w:pPr>
    </w:p>
    <w:sectPr w:rsidR="00233D59" w:rsidRPr="00233D59" w:rsidSect="00FE3F84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11" w:rsidRDefault="000B2F11" w:rsidP="00FE3F84">
      <w:r>
        <w:separator/>
      </w:r>
    </w:p>
  </w:endnote>
  <w:endnote w:type="continuationSeparator" w:id="0">
    <w:p w:rsidR="000B2F11" w:rsidRDefault="000B2F11" w:rsidP="00FE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11" w:rsidRDefault="000B2F11" w:rsidP="00FE3F84">
      <w:r>
        <w:separator/>
      </w:r>
    </w:p>
  </w:footnote>
  <w:footnote w:type="continuationSeparator" w:id="0">
    <w:p w:rsidR="000B2F11" w:rsidRDefault="000B2F11" w:rsidP="00FE3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D33"/>
    <w:multiLevelType w:val="hybridMultilevel"/>
    <w:tmpl w:val="2F1CBB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853F3"/>
    <w:multiLevelType w:val="hybridMultilevel"/>
    <w:tmpl w:val="6B38C5BC"/>
    <w:lvl w:ilvl="0" w:tplc="A8DED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4C6B11"/>
    <w:multiLevelType w:val="hybridMultilevel"/>
    <w:tmpl w:val="955C5D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E022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335"/>
    <w:multiLevelType w:val="multilevel"/>
    <w:tmpl w:val="F9CE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0106A"/>
    <w:multiLevelType w:val="hybridMultilevel"/>
    <w:tmpl w:val="B980F006"/>
    <w:lvl w:ilvl="0" w:tplc="4E022E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20832"/>
    <w:multiLevelType w:val="multilevel"/>
    <w:tmpl w:val="3EE0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E15E5"/>
    <w:multiLevelType w:val="hybridMultilevel"/>
    <w:tmpl w:val="6C86D7A4"/>
    <w:lvl w:ilvl="0" w:tplc="64F0B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17B97"/>
    <w:multiLevelType w:val="hybridMultilevel"/>
    <w:tmpl w:val="ABA20F0A"/>
    <w:lvl w:ilvl="0" w:tplc="D5CA4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F84"/>
    <w:rsid w:val="000155EF"/>
    <w:rsid w:val="00037373"/>
    <w:rsid w:val="00052B7D"/>
    <w:rsid w:val="000705B3"/>
    <w:rsid w:val="00073D4C"/>
    <w:rsid w:val="00076BB5"/>
    <w:rsid w:val="000803B6"/>
    <w:rsid w:val="00081C0D"/>
    <w:rsid w:val="000870A0"/>
    <w:rsid w:val="000A38D8"/>
    <w:rsid w:val="000A4CB4"/>
    <w:rsid w:val="000B2F11"/>
    <w:rsid w:val="000D2B8D"/>
    <w:rsid w:val="000F1A0E"/>
    <w:rsid w:val="000F6C12"/>
    <w:rsid w:val="00111557"/>
    <w:rsid w:val="00113F0A"/>
    <w:rsid w:val="0017177E"/>
    <w:rsid w:val="001741F8"/>
    <w:rsid w:val="00174360"/>
    <w:rsid w:val="00176CDD"/>
    <w:rsid w:val="0018130F"/>
    <w:rsid w:val="001B407F"/>
    <w:rsid w:val="001C5BE5"/>
    <w:rsid w:val="001D2526"/>
    <w:rsid w:val="001E1697"/>
    <w:rsid w:val="001E748D"/>
    <w:rsid w:val="001F47BA"/>
    <w:rsid w:val="00233D59"/>
    <w:rsid w:val="0025016B"/>
    <w:rsid w:val="00252073"/>
    <w:rsid w:val="00261FB5"/>
    <w:rsid w:val="00292CBA"/>
    <w:rsid w:val="002E7A6C"/>
    <w:rsid w:val="002F4B84"/>
    <w:rsid w:val="003134F9"/>
    <w:rsid w:val="00364F42"/>
    <w:rsid w:val="00367423"/>
    <w:rsid w:val="00384E1A"/>
    <w:rsid w:val="00396E03"/>
    <w:rsid w:val="003A6018"/>
    <w:rsid w:val="003D56F4"/>
    <w:rsid w:val="003E14B6"/>
    <w:rsid w:val="00420DE4"/>
    <w:rsid w:val="004273CB"/>
    <w:rsid w:val="00436178"/>
    <w:rsid w:val="004856B7"/>
    <w:rsid w:val="004A1410"/>
    <w:rsid w:val="004B4F91"/>
    <w:rsid w:val="00516DFA"/>
    <w:rsid w:val="00564A76"/>
    <w:rsid w:val="00571462"/>
    <w:rsid w:val="0058396B"/>
    <w:rsid w:val="005F62DD"/>
    <w:rsid w:val="005F76E5"/>
    <w:rsid w:val="0061447D"/>
    <w:rsid w:val="0062368D"/>
    <w:rsid w:val="006C2EF5"/>
    <w:rsid w:val="006C38D8"/>
    <w:rsid w:val="006E0B80"/>
    <w:rsid w:val="007369E6"/>
    <w:rsid w:val="00763E8F"/>
    <w:rsid w:val="007728E1"/>
    <w:rsid w:val="00786238"/>
    <w:rsid w:val="007969EA"/>
    <w:rsid w:val="007A374B"/>
    <w:rsid w:val="007D5392"/>
    <w:rsid w:val="007F6806"/>
    <w:rsid w:val="008117E4"/>
    <w:rsid w:val="00821905"/>
    <w:rsid w:val="00825D3F"/>
    <w:rsid w:val="0082707A"/>
    <w:rsid w:val="00837FDD"/>
    <w:rsid w:val="0089023E"/>
    <w:rsid w:val="008A1F7B"/>
    <w:rsid w:val="008B7C40"/>
    <w:rsid w:val="008D4A0E"/>
    <w:rsid w:val="008F077B"/>
    <w:rsid w:val="00903DBF"/>
    <w:rsid w:val="0091601B"/>
    <w:rsid w:val="0095044B"/>
    <w:rsid w:val="00987D63"/>
    <w:rsid w:val="009B328B"/>
    <w:rsid w:val="009B6182"/>
    <w:rsid w:val="009B6B89"/>
    <w:rsid w:val="009C421F"/>
    <w:rsid w:val="009F2C1D"/>
    <w:rsid w:val="00A01026"/>
    <w:rsid w:val="00A80210"/>
    <w:rsid w:val="00A913F6"/>
    <w:rsid w:val="00AC19F4"/>
    <w:rsid w:val="00AD15C3"/>
    <w:rsid w:val="00AF0B42"/>
    <w:rsid w:val="00B00FDF"/>
    <w:rsid w:val="00B20CF2"/>
    <w:rsid w:val="00B251FA"/>
    <w:rsid w:val="00B3547B"/>
    <w:rsid w:val="00B42AE3"/>
    <w:rsid w:val="00B93D11"/>
    <w:rsid w:val="00BA02FB"/>
    <w:rsid w:val="00BC4153"/>
    <w:rsid w:val="00BC4CD4"/>
    <w:rsid w:val="00C00D78"/>
    <w:rsid w:val="00C23105"/>
    <w:rsid w:val="00C525AF"/>
    <w:rsid w:val="00C64CEF"/>
    <w:rsid w:val="00CD6581"/>
    <w:rsid w:val="00D03784"/>
    <w:rsid w:val="00D12BC5"/>
    <w:rsid w:val="00D267EF"/>
    <w:rsid w:val="00D30C77"/>
    <w:rsid w:val="00D72354"/>
    <w:rsid w:val="00D8146B"/>
    <w:rsid w:val="00DA5668"/>
    <w:rsid w:val="00DC5901"/>
    <w:rsid w:val="00DF6293"/>
    <w:rsid w:val="00DF64FC"/>
    <w:rsid w:val="00E118D1"/>
    <w:rsid w:val="00E15C5B"/>
    <w:rsid w:val="00E860D5"/>
    <w:rsid w:val="00E97442"/>
    <w:rsid w:val="00EA07EC"/>
    <w:rsid w:val="00EA3535"/>
    <w:rsid w:val="00EC0A40"/>
    <w:rsid w:val="00ED50E5"/>
    <w:rsid w:val="00F25308"/>
    <w:rsid w:val="00F32210"/>
    <w:rsid w:val="00F359CA"/>
    <w:rsid w:val="00F37401"/>
    <w:rsid w:val="00F521C8"/>
    <w:rsid w:val="00F60A6C"/>
    <w:rsid w:val="00FA5607"/>
    <w:rsid w:val="00FB3660"/>
    <w:rsid w:val="00FD6C28"/>
    <w:rsid w:val="00FD76FF"/>
    <w:rsid w:val="00FE3F84"/>
    <w:rsid w:val="00FF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F84"/>
    <w:pPr>
      <w:keepNext/>
      <w:overflowPunct w:val="0"/>
      <w:autoSpaceDE w:val="0"/>
      <w:autoSpaceDN w:val="0"/>
      <w:adjustRightInd w:val="0"/>
      <w:ind w:right="43" w:firstLine="567"/>
      <w:jc w:val="both"/>
      <w:textAlignment w:val="baseline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F8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Знак Знак"/>
    <w:basedOn w:val="a"/>
    <w:rsid w:val="00FE3F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link w:val="20"/>
    <w:rsid w:val="00FE3F84"/>
    <w:pPr>
      <w:overflowPunct w:val="0"/>
      <w:autoSpaceDE w:val="0"/>
      <w:autoSpaceDN w:val="0"/>
      <w:adjustRightInd w:val="0"/>
      <w:ind w:right="43" w:firstLine="567"/>
      <w:jc w:val="center"/>
      <w:textAlignment w:val="baseline"/>
    </w:pPr>
    <w:rPr>
      <w:b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FE3F8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annotation text"/>
    <w:basedOn w:val="a"/>
    <w:link w:val="a5"/>
    <w:rsid w:val="00FE3F8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E3F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Основной текст с отступом Знак Знак"/>
    <w:basedOn w:val="a"/>
    <w:link w:val="a7"/>
    <w:rsid w:val="00FE3F84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с отступом Знак Знак Знак"/>
    <w:basedOn w:val="a0"/>
    <w:link w:val="a6"/>
    <w:rsid w:val="00FE3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E3F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rsid w:val="00FE3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F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FE3F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3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E3F84"/>
  </w:style>
  <w:style w:type="paragraph" w:customStyle="1" w:styleId="ac">
    <w:name w:val="Знак Знак Знак Знак Знак Знак Знак Знак Знак Знак"/>
    <w:basedOn w:val="a"/>
    <w:rsid w:val="00FE3F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"/>
    <w:basedOn w:val="a"/>
    <w:rsid w:val="00FE3F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"/>
    <w:basedOn w:val="a"/>
    <w:rsid w:val="00FE3F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footer"/>
    <w:basedOn w:val="a"/>
    <w:link w:val="af0"/>
    <w:rsid w:val="00FE3F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E3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"/>
    <w:basedOn w:val="a"/>
    <w:rsid w:val="00FE3F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E3F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FE3F84"/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FE3F84"/>
    <w:pPr>
      <w:spacing w:after="120"/>
    </w:pPr>
  </w:style>
  <w:style w:type="character" w:customStyle="1" w:styleId="af3">
    <w:name w:val="Основной текст Знак"/>
    <w:basedOn w:val="a0"/>
    <w:link w:val="af2"/>
    <w:rsid w:val="00FE3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FE3F84"/>
    <w:rPr>
      <w:rFonts w:ascii="Arial" w:hAnsi="Arial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E3F84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6">
    <w:name w:val="Гипертекстовая ссылка"/>
    <w:rsid w:val="00FE3F84"/>
    <w:rPr>
      <w:color w:val="008000"/>
    </w:rPr>
  </w:style>
  <w:style w:type="character" w:styleId="af7">
    <w:name w:val="Hyperlink"/>
    <w:uiPriority w:val="99"/>
    <w:unhideWhenUsed/>
    <w:rsid w:val="00FE3F84"/>
    <w:rPr>
      <w:color w:val="0000FF"/>
      <w:u w:val="single"/>
    </w:rPr>
  </w:style>
  <w:style w:type="paragraph" w:customStyle="1" w:styleId="13">
    <w:name w:val="Стиль Первая строка:  1"/>
    <w:aliases w:val="25 см,ConsPlusNormal + Times New Roman,14 пт,По ширине,Первая строка:  1,... ..."/>
    <w:basedOn w:val="a"/>
    <w:rsid w:val="00FE3F84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af8">
    <w:name w:val="Акты"/>
    <w:basedOn w:val="a"/>
    <w:rsid w:val="00FE3F84"/>
    <w:pPr>
      <w:ind w:firstLine="709"/>
      <w:jc w:val="both"/>
    </w:pPr>
    <w:rPr>
      <w:sz w:val="28"/>
      <w:szCs w:val="28"/>
    </w:rPr>
  </w:style>
  <w:style w:type="paragraph" w:styleId="af9">
    <w:name w:val="Normal (Web)"/>
    <w:aliases w:val="Обычный (Web),Обычный (веб)1,Обычный (веб)2,Обычный (веб)3,Обычный (веб)11,Обычный (веб)31"/>
    <w:basedOn w:val="a"/>
    <w:unhideWhenUsed/>
    <w:rsid w:val="00FE3F84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14">
    <w:name w:val="Должность1"/>
    <w:basedOn w:val="a"/>
    <w:rsid w:val="00FE3F84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fa">
    <w:name w:val="footnote text"/>
    <w:basedOn w:val="a"/>
    <w:link w:val="afb"/>
    <w:uiPriority w:val="99"/>
    <w:unhideWhenUsed/>
    <w:rsid w:val="00FE3F8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FE3F84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unhideWhenUsed/>
    <w:rsid w:val="00FE3F84"/>
    <w:rPr>
      <w:rFonts w:ascii="Times New Roman" w:hAnsi="Times New Roman" w:cs="Times New Roman" w:hint="default"/>
      <w:vertAlign w:val="superscript"/>
    </w:rPr>
  </w:style>
  <w:style w:type="paragraph" w:styleId="afd">
    <w:name w:val="List Paragraph"/>
    <w:basedOn w:val="a"/>
    <w:uiPriority w:val="34"/>
    <w:qFormat/>
    <w:rsid w:val="00D12BC5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D12BC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12BC5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12B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D12BC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14</Pages>
  <Words>6526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42</cp:revision>
  <cp:lastPrinted>2016-04-28T10:33:00Z</cp:lastPrinted>
  <dcterms:created xsi:type="dcterms:W3CDTF">2016-04-15T08:09:00Z</dcterms:created>
  <dcterms:modified xsi:type="dcterms:W3CDTF">2016-04-28T10:54:00Z</dcterms:modified>
</cp:coreProperties>
</file>